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57D8C">
      <w:pPr>
        <w:pStyle w:val="2"/>
        <w:keepNext w:val="0"/>
        <w:keepLines w:val="0"/>
        <w:pageBreakBefore w:val="0"/>
        <w:widowControl/>
        <w:kinsoku w:val="0"/>
        <w:wordWrap/>
        <w:overflowPunct/>
        <w:topLinePunct w:val="0"/>
        <w:autoSpaceDE w:val="0"/>
        <w:autoSpaceDN w:val="0"/>
        <w:bidi w:val="0"/>
        <w:adjustRightInd w:val="0"/>
        <w:snapToGrid w:val="0"/>
        <w:spacing w:before="119" w:line="288" w:lineRule="auto"/>
        <w:ind w:left="23"/>
        <w:jc w:val="center"/>
        <w:textAlignment w:val="baseline"/>
        <w:outlineLvl w:val="0"/>
        <w:rPr>
          <w:rFonts w:hint="default" w:ascii="Times New Roman" w:hAnsi="Times New Roman" w:cs="Times New Roman"/>
          <w:sz w:val="40"/>
          <w:szCs w:val="40"/>
        </w:rPr>
      </w:pPr>
      <w:r>
        <w:rPr>
          <w:rFonts w:hint="default" w:ascii="Times New Roman" w:hAnsi="Times New Roman" w:eastAsia="Times New Roman" w:cs="Times New Roman"/>
          <w:b/>
          <w:bCs/>
          <w:spacing w:val="-3"/>
          <w:sz w:val="40"/>
          <w:szCs w:val="40"/>
        </w:rPr>
        <w:t xml:space="preserve">2026 </w:t>
      </w:r>
      <w:r>
        <w:rPr>
          <w:rFonts w:hint="default" w:ascii="Times New Roman" w:hAnsi="Times New Roman" w:cs="Times New Roman"/>
          <w:b/>
          <w:bCs/>
          <w:spacing w:val="-3"/>
          <w:sz w:val="40"/>
          <w:szCs w:val="40"/>
        </w:rPr>
        <w:t>年度自然资源科学技术奖提名项目公示</w:t>
      </w:r>
    </w:p>
    <w:p w14:paraId="2AF990AB">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right="77"/>
        <w:jc w:val="both"/>
        <w:textAlignment w:val="baseline"/>
        <w:rPr>
          <w:rFonts w:hint="default" w:ascii="Times New Roman" w:hAnsi="Times New Roman" w:cs="Times New Roman"/>
        </w:rPr>
      </w:pPr>
      <w:r>
        <w:rPr>
          <w:rFonts w:hint="default" w:ascii="Times New Roman" w:hAnsi="Times New Roman" w:cs="Times New Roman"/>
          <w:b/>
          <w:bCs/>
          <w:spacing w:val="-1"/>
        </w:rPr>
        <w:t>一、成果名称</w:t>
      </w:r>
      <w:r>
        <w:rPr>
          <w:rFonts w:hint="default" w:ascii="Times New Roman" w:hAnsi="Times New Roman" w:cs="Times New Roman"/>
          <w:spacing w:val="-1"/>
        </w:rPr>
        <w:t>：高寒草地植被格局变化与生态过程</w:t>
      </w:r>
    </w:p>
    <w:p w14:paraId="29828E5D">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right="77"/>
        <w:jc w:val="both"/>
        <w:textAlignment w:val="baseline"/>
        <w:rPr>
          <w:rFonts w:hint="default" w:ascii="Times New Roman" w:hAnsi="Times New Roman" w:cs="Times New Roman"/>
        </w:rPr>
      </w:pPr>
      <w:r>
        <w:rPr>
          <w:rFonts w:hint="default" w:ascii="Times New Roman" w:hAnsi="Times New Roman" w:cs="Times New Roman"/>
          <w:b/>
          <w:bCs/>
          <w:spacing w:val="-1"/>
        </w:rPr>
        <w:t>二、主要完成人</w:t>
      </w:r>
      <w:r>
        <w:rPr>
          <w:rFonts w:hint="default" w:ascii="Times New Roman" w:hAnsi="Times New Roman" w:cs="Times New Roman"/>
          <w:spacing w:val="-1"/>
        </w:rPr>
        <w:t>：孙建、周天财、刘世梁、鲁旭阳、魏彦强、斯确多吉</w:t>
      </w:r>
    </w:p>
    <w:p w14:paraId="4F364E7F">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right="77"/>
        <w:jc w:val="both"/>
        <w:textAlignment w:val="baseline"/>
        <w:rPr>
          <w:rFonts w:hint="default" w:ascii="Times New Roman" w:hAnsi="Times New Roman" w:cs="Times New Roman"/>
        </w:rPr>
      </w:pPr>
      <w:r>
        <w:rPr>
          <w:rFonts w:hint="default" w:ascii="Times New Roman" w:hAnsi="Times New Roman" w:cs="Times New Roman"/>
          <w:b/>
          <w:bCs/>
          <w:spacing w:val="-1"/>
        </w:rPr>
        <w:t>三、主要完成单位</w:t>
      </w:r>
      <w:r>
        <w:rPr>
          <w:rFonts w:hint="default" w:ascii="Times New Roman" w:hAnsi="Times New Roman" w:cs="Times New Roman"/>
          <w:spacing w:val="-3"/>
        </w:rPr>
        <w:t>：中国科学院青藏高原研究所、北京师范大学、中国科学院.水利部成都山地灾害与环境研究所、中国科学院</w:t>
      </w:r>
      <w:r>
        <w:rPr>
          <w:rFonts w:hint="default" w:ascii="Times New Roman" w:hAnsi="Times New Roman" w:cs="Times New Roman"/>
          <w:spacing w:val="-1"/>
        </w:rPr>
        <w:t>西北</w:t>
      </w:r>
      <w:r>
        <w:rPr>
          <w:rFonts w:hint="default" w:ascii="Times New Roman" w:hAnsi="Times New Roman" w:cs="Times New Roman"/>
          <w:spacing w:val="-3"/>
        </w:rPr>
        <w:t>生态环境资源研究院</w:t>
      </w:r>
    </w:p>
    <w:p w14:paraId="35B63029">
      <w:pPr>
        <w:pStyle w:val="2"/>
        <w:keepNext w:val="0"/>
        <w:keepLines w:val="0"/>
        <w:pageBreakBefore w:val="0"/>
        <w:widowControl/>
        <w:kinsoku w:val="0"/>
        <w:wordWrap/>
        <w:overflowPunct/>
        <w:topLinePunct w:val="0"/>
        <w:autoSpaceDE w:val="0"/>
        <w:autoSpaceDN w:val="0"/>
        <w:bidi w:val="0"/>
        <w:adjustRightInd w:val="0"/>
        <w:snapToGrid w:val="0"/>
        <w:spacing w:before="282" w:line="288" w:lineRule="auto"/>
        <w:ind w:left="27"/>
        <w:textAlignment w:val="baseline"/>
        <w:rPr>
          <w:rFonts w:hint="default" w:ascii="Times New Roman" w:hAnsi="Times New Roman" w:cs="Times New Roman"/>
          <w:b/>
          <w:bCs/>
          <w:spacing w:val="-1"/>
        </w:rPr>
      </w:pPr>
      <w:r>
        <w:rPr>
          <w:rFonts w:hint="default" w:ascii="Times New Roman" w:hAnsi="Times New Roman" w:cs="Times New Roman"/>
          <w:b/>
          <w:bCs/>
          <w:spacing w:val="-1"/>
        </w:rPr>
        <w:t>四、推荐</w:t>
      </w:r>
      <w:r>
        <w:rPr>
          <w:rFonts w:hint="eastAsia" w:ascii="Times New Roman" w:hAnsi="Times New Roman" w:cs="Times New Roman"/>
          <w:b/>
          <w:bCs/>
          <w:spacing w:val="-1"/>
          <w:lang w:val="en-US" w:eastAsia="zh-CN"/>
        </w:rPr>
        <w:t>人</w:t>
      </w:r>
      <w:r>
        <w:rPr>
          <w:rFonts w:hint="default" w:ascii="Times New Roman" w:hAnsi="Times New Roman" w:cs="Times New Roman"/>
          <w:b/>
          <w:bCs/>
          <w:spacing w:val="-1"/>
        </w:rPr>
        <w:t>及推荐意见</w:t>
      </w:r>
    </w:p>
    <w:p w14:paraId="7AF16D31">
      <w:pPr>
        <w:pStyle w:val="2"/>
        <w:keepNext w:val="0"/>
        <w:keepLines w:val="0"/>
        <w:pageBreakBefore w:val="0"/>
        <w:widowControl/>
        <w:kinsoku w:val="0"/>
        <w:wordWrap/>
        <w:overflowPunct/>
        <w:topLinePunct w:val="0"/>
        <w:autoSpaceDE w:val="0"/>
        <w:autoSpaceDN w:val="0"/>
        <w:bidi w:val="0"/>
        <w:adjustRightInd w:val="0"/>
        <w:snapToGrid w:val="0"/>
        <w:spacing w:before="121" w:line="288" w:lineRule="auto"/>
        <w:ind w:left="23"/>
        <w:textAlignment w:val="baseline"/>
        <w:rPr>
          <w:rFonts w:hint="default" w:ascii="Times New Roman" w:hAnsi="Times New Roman" w:cs="Times New Roman"/>
          <w:spacing w:val="-1"/>
          <w:highlight w:val="none"/>
        </w:rPr>
      </w:pPr>
      <w:r>
        <w:rPr>
          <w:rFonts w:hint="default" w:ascii="Times New Roman" w:hAnsi="Times New Roman" w:cs="Times New Roman"/>
          <w:b/>
          <w:bCs/>
          <w:spacing w:val="-1"/>
          <w:highlight w:val="none"/>
        </w:rPr>
        <w:t>推荐</w:t>
      </w:r>
      <w:r>
        <w:rPr>
          <w:rFonts w:hint="default" w:ascii="Times New Roman" w:hAnsi="Times New Roman" w:cs="Times New Roman"/>
          <w:b/>
          <w:bCs/>
          <w:spacing w:val="-1"/>
          <w:highlight w:val="none"/>
          <w:lang w:val="en-US" w:eastAsia="zh-CN"/>
        </w:rPr>
        <w:t>人</w:t>
      </w:r>
      <w:r>
        <w:rPr>
          <w:rFonts w:hint="default" w:ascii="Times New Roman" w:hAnsi="Times New Roman" w:cs="Times New Roman"/>
          <w:spacing w:val="-1"/>
          <w:highlight w:val="none"/>
        </w:rPr>
        <w:t>：</w:t>
      </w:r>
      <w:r>
        <w:rPr>
          <w:rFonts w:hint="default" w:ascii="Times New Roman" w:hAnsi="Times New Roman" w:cs="Times New Roman"/>
          <w:spacing w:val="-1"/>
          <w:highlight w:val="none"/>
          <w:lang w:val="en-US" w:eastAsia="zh-CN"/>
        </w:rPr>
        <w:t>陈发虎</w:t>
      </w:r>
    </w:p>
    <w:p w14:paraId="1A7D3157">
      <w:pPr>
        <w:pStyle w:val="2"/>
        <w:keepNext w:val="0"/>
        <w:keepLines w:val="0"/>
        <w:pageBreakBefore w:val="0"/>
        <w:widowControl/>
        <w:kinsoku w:val="0"/>
        <w:wordWrap/>
        <w:overflowPunct/>
        <w:topLinePunct w:val="0"/>
        <w:autoSpaceDE w:val="0"/>
        <w:autoSpaceDN w:val="0"/>
        <w:bidi w:val="0"/>
        <w:adjustRightInd w:val="0"/>
        <w:snapToGrid w:val="0"/>
        <w:spacing w:before="121" w:line="288" w:lineRule="auto"/>
        <w:ind w:left="23"/>
        <w:textAlignment w:val="baseline"/>
        <w:rPr>
          <w:rFonts w:hint="default" w:ascii="Times New Roman" w:hAnsi="Times New Roman" w:cs="Times New Roman"/>
        </w:rPr>
      </w:pPr>
      <w:r>
        <w:rPr>
          <w:rFonts w:hint="default" w:ascii="Times New Roman" w:hAnsi="Times New Roman" w:cs="Times New Roman"/>
          <w:b/>
          <w:bCs/>
          <w:spacing w:val="-1"/>
        </w:rPr>
        <w:t>推荐意见</w:t>
      </w:r>
      <w:r>
        <w:rPr>
          <w:rFonts w:hint="default" w:ascii="Times New Roman" w:hAnsi="Times New Roman" w:cs="Times New Roman"/>
          <w:spacing w:val="-2"/>
        </w:rPr>
        <w:t>：</w:t>
      </w:r>
    </w:p>
    <w:p w14:paraId="63BCCE40">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1"/>
        </w:rPr>
      </w:pPr>
      <w:r>
        <w:rPr>
          <w:rFonts w:hint="default" w:ascii="Times New Roman" w:hAnsi="Times New Roman" w:cs="Times New Roman"/>
          <w:spacing w:val="-1"/>
        </w:rPr>
        <w:t>该项目以青藏高原高寒草地作为主要研究对象，通过遥感、样带调查、控制实验和社区调查等研究手段，探讨高原高寒草地格局-功能-服务及可持续管理</w:t>
      </w:r>
      <w:r>
        <w:rPr>
          <w:rFonts w:hint="default" w:ascii="Times New Roman" w:hAnsi="Times New Roman" w:cs="Times New Roman"/>
          <w:spacing w:val="-1"/>
          <w:lang w:eastAsia="zh-CN"/>
        </w:rPr>
        <w:t>。</w:t>
      </w:r>
      <w:r>
        <w:rPr>
          <w:rFonts w:hint="default" w:ascii="Times New Roman" w:hAnsi="Times New Roman" w:cs="Times New Roman"/>
          <w:spacing w:val="-1"/>
        </w:rPr>
        <w:t>从样点到生态系统尺度上明晰了青藏高原分亚区的水热格局及变化特征</w:t>
      </w:r>
      <w:r>
        <w:rPr>
          <w:rFonts w:hint="default" w:ascii="Times New Roman" w:hAnsi="Times New Roman" w:cs="Times New Roman"/>
          <w:spacing w:val="-1"/>
          <w:lang w:eastAsia="zh-CN"/>
        </w:rPr>
        <w:t>；创新提出</w:t>
      </w:r>
      <w:r>
        <w:rPr>
          <w:rFonts w:hint="default" w:ascii="Times New Roman" w:hAnsi="Times New Roman" w:cs="Times New Roman"/>
          <w:spacing w:val="-1"/>
          <w:lang w:val="en-US" w:eastAsia="zh-CN"/>
        </w:rPr>
        <w:t>了</w:t>
      </w:r>
      <w:r>
        <w:rPr>
          <w:rFonts w:hint="default" w:ascii="Times New Roman" w:hAnsi="Times New Roman" w:cs="Times New Roman"/>
          <w:spacing w:val="-1"/>
          <w:lang w:eastAsia="zh-CN"/>
        </w:rPr>
        <w:t>水热梯度格局主导高寒草地植被分布和功能空间分异的新观点；</w:t>
      </w:r>
      <w:r>
        <w:rPr>
          <w:rFonts w:hint="default" w:ascii="Times New Roman" w:hAnsi="Times New Roman" w:cs="Times New Roman"/>
          <w:spacing w:val="-1"/>
        </w:rPr>
        <w:t>系统揭示了</w:t>
      </w:r>
      <w:r>
        <w:rPr>
          <w:rFonts w:hint="default" w:ascii="Times New Roman" w:hAnsi="Times New Roman" w:cs="Times New Roman"/>
          <w:spacing w:val="-3"/>
        </w:rPr>
        <w:t>高寒</w:t>
      </w:r>
      <w:r>
        <w:rPr>
          <w:rFonts w:hint="default" w:ascii="Times New Roman" w:hAnsi="Times New Roman" w:cs="Times New Roman"/>
          <w:spacing w:val="-1"/>
        </w:rPr>
        <w:t>草地生态系统关键功能对资源梯度的非线性响应与驱动机理</w:t>
      </w:r>
      <w:r>
        <w:rPr>
          <w:rFonts w:hint="default" w:ascii="Times New Roman" w:hAnsi="Times New Roman" w:cs="Times New Roman"/>
          <w:spacing w:val="-1"/>
          <w:lang w:eastAsia="zh-CN"/>
        </w:rPr>
        <w:t>；</w:t>
      </w:r>
      <w:r>
        <w:rPr>
          <w:rFonts w:hint="default" w:ascii="Times New Roman" w:hAnsi="Times New Roman" w:cs="Times New Roman"/>
          <w:spacing w:val="-1"/>
        </w:rPr>
        <w:t>提出了迈向生物多样性保护和促进可持续发展目标的草地管理框架</w:t>
      </w:r>
      <w:r>
        <w:rPr>
          <w:rFonts w:hint="default" w:ascii="Times New Roman" w:hAnsi="Times New Roman" w:cs="Times New Roman"/>
          <w:spacing w:val="-1"/>
          <w:lang w:eastAsia="zh-CN"/>
        </w:rPr>
        <w:t>，</w:t>
      </w:r>
      <w:r>
        <w:rPr>
          <w:rFonts w:hint="default" w:ascii="Times New Roman" w:hAnsi="Times New Roman" w:cs="Times New Roman"/>
          <w:spacing w:val="-1"/>
        </w:rPr>
        <w:t>相关研究成果在同类研究中达到国际领先水平，为青藏高原高寒草地</w:t>
      </w:r>
      <w:r>
        <w:rPr>
          <w:rFonts w:hint="default" w:ascii="Times New Roman" w:hAnsi="Times New Roman" w:cs="Times New Roman"/>
          <w:spacing w:val="-1"/>
          <w:lang w:val="en-US" w:eastAsia="zh-CN"/>
        </w:rPr>
        <w:t>保护和</w:t>
      </w:r>
      <w:r>
        <w:rPr>
          <w:rFonts w:hint="default" w:ascii="Times New Roman" w:hAnsi="Times New Roman" w:cs="Times New Roman"/>
          <w:spacing w:val="-1"/>
        </w:rPr>
        <w:t>适应性管理提供了参考。</w:t>
      </w:r>
    </w:p>
    <w:p w14:paraId="185022E5">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3" w:right="79" w:firstLine="476"/>
        <w:jc w:val="both"/>
        <w:textAlignment w:val="baseline"/>
        <w:rPr>
          <w:rFonts w:hint="default" w:ascii="Times New Roman" w:hAnsi="Times New Roman" w:cs="Times New Roman"/>
          <w:spacing w:val="-1"/>
        </w:rPr>
      </w:pPr>
      <w:r>
        <w:rPr>
          <w:rFonts w:hint="default" w:ascii="Times New Roman" w:hAnsi="Times New Roman" w:cs="Times New Roman"/>
          <w:spacing w:val="-1"/>
        </w:rPr>
        <w:t>项目共发表学术</w:t>
      </w:r>
      <w:r>
        <w:rPr>
          <w:rFonts w:hint="default" w:ascii="Times New Roman" w:hAnsi="Times New Roman" w:cs="Times New Roman"/>
          <w:spacing w:val="-3"/>
        </w:rPr>
        <w:t>论文</w:t>
      </w:r>
      <w:r>
        <w:rPr>
          <w:rFonts w:hint="default" w:ascii="Times New Roman" w:hAnsi="Times New Roman" w:cs="Times New Roman"/>
          <w:spacing w:val="-1"/>
        </w:rPr>
        <w:t>12</w:t>
      </w:r>
      <w:r>
        <w:rPr>
          <w:rFonts w:hint="default" w:ascii="Times New Roman" w:hAnsi="Times New Roman" w:cs="Times New Roman"/>
          <w:spacing w:val="-1"/>
          <w:lang w:val="en-US" w:eastAsia="zh-CN"/>
        </w:rPr>
        <w:t>0</w:t>
      </w:r>
      <w:r>
        <w:rPr>
          <w:rFonts w:hint="default" w:ascii="Times New Roman" w:hAnsi="Times New Roman" w:cs="Times New Roman"/>
          <w:spacing w:val="-1"/>
        </w:rPr>
        <w:t>篇，其中SCI论文</w:t>
      </w:r>
      <w:r>
        <w:rPr>
          <w:rFonts w:hint="eastAsia" w:ascii="Times New Roman" w:hAnsi="Times New Roman" w:cs="Times New Roman"/>
          <w:spacing w:val="-1"/>
          <w:lang w:val="en-US" w:eastAsia="zh-CN"/>
        </w:rPr>
        <w:t>93</w:t>
      </w:r>
      <w:r>
        <w:rPr>
          <w:rFonts w:hint="default" w:ascii="Times New Roman" w:hAnsi="Times New Roman" w:cs="Times New Roman"/>
          <w:spacing w:val="-1"/>
        </w:rPr>
        <w:t>篇，包括在Science Bulletin，The Innovation，Earth’ Future和Global Ecology and Biogeography等一区刊物上发表学术论文4</w:t>
      </w:r>
      <w:r>
        <w:rPr>
          <w:rFonts w:hint="default" w:ascii="Times New Roman" w:hAnsi="Times New Roman" w:cs="Times New Roman"/>
          <w:spacing w:val="-1"/>
          <w:lang w:val="en-US" w:eastAsia="zh-CN"/>
        </w:rPr>
        <w:t>0</w:t>
      </w:r>
      <w:r>
        <w:rPr>
          <w:rFonts w:hint="default" w:ascii="Times New Roman" w:hAnsi="Times New Roman" w:cs="Times New Roman"/>
          <w:spacing w:val="-1"/>
        </w:rPr>
        <w:t>篇，其中1篇入选ESI前1%高被引论文。代表性学术论文他引</w:t>
      </w:r>
      <w:r>
        <w:rPr>
          <w:rFonts w:hint="default" w:ascii="Times New Roman" w:hAnsi="Times New Roman" w:cs="Times New Roman"/>
          <w:spacing w:val="-1"/>
          <w:lang w:val="en-US" w:eastAsia="zh-CN"/>
        </w:rPr>
        <w:t>752</w:t>
      </w:r>
      <w:r>
        <w:rPr>
          <w:rFonts w:hint="default" w:ascii="Times New Roman" w:hAnsi="Times New Roman" w:cs="Times New Roman"/>
          <w:spacing w:val="-1"/>
        </w:rPr>
        <w:t>次，单篇SCI论文最高他引</w:t>
      </w:r>
      <w:r>
        <w:rPr>
          <w:rFonts w:hint="default" w:ascii="Times New Roman" w:hAnsi="Times New Roman" w:cs="Times New Roman"/>
          <w:spacing w:val="-1"/>
          <w:lang w:val="en-US" w:eastAsia="zh-CN"/>
        </w:rPr>
        <w:t>229</w:t>
      </w:r>
      <w:r>
        <w:rPr>
          <w:rFonts w:hint="default" w:ascii="Times New Roman" w:hAnsi="Times New Roman" w:cs="Times New Roman"/>
          <w:spacing w:val="-1"/>
        </w:rPr>
        <w:t>次，具备一定国际前沿性与影响力；针对植被动态，气候变化与青藏高原畜牧业可持续发展，主编专著2本；授权发明专利1项，实用新型专利3项；针对气候变化背景下的高原生态安全和草种产业发展等问题，呈交咨询报告4项。项目成员在高寒草地生产-生态功能维持机制和生态安全屏障监测与评估等研究成果方面，获得西藏自治区科学技术奖一等奖</w:t>
      </w:r>
      <w:r>
        <w:rPr>
          <w:rFonts w:hint="default" w:ascii="Times New Roman" w:hAnsi="Times New Roman" w:cs="Times New Roman"/>
          <w:spacing w:val="-1"/>
          <w:lang w:val="en-US" w:eastAsia="zh-CN"/>
        </w:rPr>
        <w:t>2</w:t>
      </w:r>
      <w:r>
        <w:rPr>
          <w:rFonts w:hint="default" w:ascii="Times New Roman" w:hAnsi="Times New Roman" w:cs="Times New Roman"/>
          <w:spacing w:val="-1"/>
        </w:rPr>
        <w:t>项，以及教育部科学技术进步奖一等奖1项和二等奖1项。</w:t>
      </w:r>
    </w:p>
    <w:p w14:paraId="3D53876C">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rPr>
      </w:pPr>
      <w:r>
        <w:rPr>
          <w:rFonts w:hint="default" w:ascii="Times New Roman" w:hAnsi="Times New Roman" w:cs="Times New Roman"/>
          <w:spacing w:val="-1"/>
        </w:rPr>
        <w:t>鉴于该项目在</w:t>
      </w:r>
      <w:r>
        <w:rPr>
          <w:rFonts w:hint="default" w:ascii="Times New Roman" w:hAnsi="Times New Roman" w:cs="Times New Roman"/>
          <w:spacing w:val="-3"/>
        </w:rPr>
        <w:t>理论</w:t>
      </w:r>
      <w:r>
        <w:rPr>
          <w:rFonts w:hint="default" w:ascii="Times New Roman" w:hAnsi="Times New Roman" w:cs="Times New Roman"/>
          <w:spacing w:val="-1"/>
        </w:rPr>
        <w:t>创新和成果应用方面均取得了显著成效。我郑重推荐该项目参评2026年度自然资源科学技术奖科技进步奖一等奖。</w:t>
      </w:r>
    </w:p>
    <w:p w14:paraId="75818806">
      <w:pPr>
        <w:pStyle w:val="2"/>
        <w:keepNext w:val="0"/>
        <w:keepLines w:val="0"/>
        <w:pageBreakBefore w:val="0"/>
        <w:widowControl/>
        <w:kinsoku w:val="0"/>
        <w:wordWrap/>
        <w:overflowPunct/>
        <w:topLinePunct w:val="0"/>
        <w:autoSpaceDE w:val="0"/>
        <w:autoSpaceDN w:val="0"/>
        <w:bidi w:val="0"/>
        <w:adjustRightInd w:val="0"/>
        <w:snapToGrid w:val="0"/>
        <w:spacing w:before="121" w:line="288" w:lineRule="auto"/>
        <w:ind w:left="27"/>
        <w:textAlignment w:val="baseline"/>
        <w:rPr>
          <w:rFonts w:hint="default" w:ascii="Times New Roman" w:hAnsi="Times New Roman" w:cs="Times New Roman"/>
          <w:b/>
          <w:bCs/>
        </w:rPr>
      </w:pPr>
      <w:r>
        <w:rPr>
          <w:rFonts w:hint="default" w:ascii="Times New Roman" w:hAnsi="Times New Roman" w:cs="Times New Roman"/>
          <w:b/>
          <w:bCs/>
          <w:spacing w:val="-3"/>
        </w:rPr>
        <w:t>五、成果简介</w:t>
      </w:r>
    </w:p>
    <w:p w14:paraId="21AF9E4D">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3"/>
        </w:rPr>
      </w:pPr>
      <w:r>
        <w:rPr>
          <w:rFonts w:hint="default" w:ascii="Times New Roman" w:hAnsi="Times New Roman" w:cs="Times New Roman"/>
          <w:spacing w:val="-3"/>
        </w:rPr>
        <w:t>项目针对青藏高原气候变化剧烈、高寒生态系统敏感、生态可持续发展本底脆弱等突出问题，以“植被结构和生态系统功能-驱动机理-功能和服务提升-可持续管理范式”为主线，历经10余年的科学探索与协同攻关，授权国家发明专利1项，实用新型专利3项；发表论文120篇，其中SCI论文</w:t>
      </w:r>
      <w:r>
        <w:rPr>
          <w:rFonts w:hint="eastAsia" w:ascii="Times New Roman" w:hAnsi="Times New Roman" w:cs="Times New Roman"/>
          <w:spacing w:val="-3"/>
          <w:lang w:val="en-US" w:eastAsia="zh-CN"/>
        </w:rPr>
        <w:t>93</w:t>
      </w:r>
      <w:r>
        <w:rPr>
          <w:rFonts w:hint="default" w:ascii="Times New Roman" w:hAnsi="Times New Roman" w:cs="Times New Roman"/>
          <w:spacing w:val="-3"/>
        </w:rPr>
        <w:t>篇（包括期刊Science Bulletin，The Innovation和Global Ecology and Biogeography等），高被引论文1篇，8篇代表性学术论文他引752次，单篇SCI论文最高他引229次；主编专著2部，参编专著1部；国家领导人及中办等领导批示咨询报告4份；获得西藏自治区科学技术奖一等奖2项，教育部科学技术进步奖一等奖1项。项目明晰了青藏高原分区气候变化特征，提出水热梯度格局塑造高寒草地植被和功能的空间分异；揭示了高寒草地生态系统关键功能对资源梯度的非线性响应机制；提出了迈向生物多样性保护和促进可持续发展目标的草地管理框架；将“气候变化-植被地理”研究拓展为“气候植被格局-功能分异-功能与服务提升-可持续发展”交叉融合研究，为青藏高原高寒草地的保护和可持续管理提供了科学支撑。主要成果如下：</w:t>
      </w:r>
    </w:p>
    <w:p w14:paraId="4ED1C050">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3"/>
        </w:rPr>
      </w:pPr>
      <w:r>
        <w:rPr>
          <w:rFonts w:hint="default" w:ascii="Times New Roman" w:hAnsi="Times New Roman" w:cs="Times New Roman"/>
          <w:b/>
          <w:bCs/>
          <w:spacing w:val="-3"/>
        </w:rPr>
        <w:t>1、明晰了青藏高原亚区的水热格局及变化特征，提出水热梯度格局主导高寒草地植被和功能空间分异的新观点</w:t>
      </w:r>
      <w:r>
        <w:rPr>
          <w:rFonts w:hint="default" w:ascii="Times New Roman" w:hAnsi="Times New Roman" w:cs="Times New Roman"/>
          <w:spacing w:val="-3"/>
        </w:rPr>
        <w:t>。创新的将高原划分为受西风带、印度季风和东亚季风控制的多个分区，发现高原暖湿化加速，系统阐明了高原自东向西降水量的递减塑造了高寒草地生态系统植被覆盖度、生产力、养分可利用性和植物多样性分布格局，调控了极端气候下植被的恢复速率。结合植物分布模型和气候变化情景模拟，预测了高寒草地的植被地理边界线将由东北向西南偏移。深入理解高寒草地的分布格局、成因及变化，为气候变化下草地生态系统的保护和恢复提供理论支撑。</w:t>
      </w:r>
    </w:p>
    <w:p w14:paraId="7C243B36">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3"/>
        </w:rPr>
      </w:pPr>
      <w:r>
        <w:rPr>
          <w:rFonts w:hint="default" w:ascii="Times New Roman" w:hAnsi="Times New Roman" w:cs="Times New Roman"/>
          <w:b/>
          <w:bCs/>
          <w:spacing w:val="-3"/>
        </w:rPr>
        <w:t>2、揭示了高寒草地生态系统关键功能对资源梯度的非线性响应与驱动机理</w:t>
      </w:r>
      <w:r>
        <w:rPr>
          <w:rFonts w:hint="default" w:ascii="Times New Roman" w:hAnsi="Times New Roman" w:cs="Times New Roman"/>
          <w:spacing w:val="-3"/>
        </w:rPr>
        <w:t>。基于覆盖高原全域的近10年110个点位样带调查数据，系统研究了生态系统关键功能对资源梯度的非线性响应机制，发现水热耦合模式影响植物-微生物关系，进而调控高寒草地生态系统的养分积累和平衡。在气候湿润的高寒草甸，水热的同步和土壤养分的低变异有利于植物-微生物对功能提升的协同效应，促进了群落植物的碳氮积累和氮磷养分平衡；但水热异步、土壤养分的高变异导致高寒草原的氮磷解耦合，引发了植物-微生物之间对碳氮固持功能的抑制效应。高寒生态系统功能驱动机理的解析，为深入开展植被地理和可持续发展的交叉融合研究奠定了坚实基础。</w:t>
      </w:r>
    </w:p>
    <w:p w14:paraId="5015CDC1">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3"/>
        </w:rPr>
      </w:pPr>
      <w:r>
        <w:rPr>
          <w:rFonts w:hint="default" w:ascii="Times New Roman" w:hAnsi="Times New Roman" w:cs="Times New Roman"/>
          <w:b/>
          <w:bCs/>
          <w:spacing w:val="-3"/>
          <w:lang w:val="en-US" w:eastAsia="zh-CN"/>
        </w:rPr>
        <w:t>3、</w:t>
      </w:r>
      <w:r>
        <w:rPr>
          <w:rFonts w:hint="default" w:ascii="Times New Roman" w:hAnsi="Times New Roman" w:cs="Times New Roman"/>
          <w:b/>
          <w:bCs/>
          <w:spacing w:val="-3"/>
        </w:rPr>
        <w:t>构建了提升生态系统功能和服务的生态修复方案，提出了迈向生物多样性保护和促进可持续发展目标的草地适应性管理框架</w:t>
      </w:r>
      <w:r>
        <w:rPr>
          <w:rFonts w:hint="default" w:ascii="Times New Roman" w:hAnsi="Times New Roman" w:cs="Times New Roman"/>
          <w:spacing w:val="-3"/>
        </w:rPr>
        <w:t>。构建了高原高寒草地生态系统多功能性提升与联合国可持续发展目标关系的评价体系，提出在高原生态脆弱区保护生物多样性和增强生态系统多功能性是实现2030年可持续发展目标、人和自然和谐共生的关键举措。构建的青藏高原高寒草地气候变化适应性管理框架，为区域生态修复和科学管理提供重要理论指导。将植被地理和草地管理交叉融合研究，推动了高寒植被地理学的深入发展。</w:t>
      </w:r>
    </w:p>
    <w:p w14:paraId="6426767E">
      <w:pPr>
        <w:pStyle w:val="2"/>
        <w:keepNext w:val="0"/>
        <w:keepLines w:val="0"/>
        <w:pageBreakBefore w:val="0"/>
        <w:widowControl/>
        <w:kinsoku w:val="0"/>
        <w:wordWrap/>
        <w:overflowPunct/>
        <w:topLinePunct w:val="0"/>
        <w:autoSpaceDE w:val="0"/>
        <w:autoSpaceDN w:val="0"/>
        <w:bidi w:val="0"/>
        <w:adjustRightInd w:val="0"/>
        <w:snapToGrid w:val="0"/>
        <w:spacing w:before="121" w:line="288" w:lineRule="auto"/>
        <w:ind w:left="27"/>
        <w:textAlignment w:val="baseline"/>
        <w:rPr>
          <w:rFonts w:hint="default" w:ascii="Times New Roman" w:hAnsi="Times New Roman" w:cs="Times New Roman"/>
          <w:b/>
          <w:bCs/>
        </w:rPr>
      </w:pPr>
      <w:r>
        <w:rPr>
          <w:rFonts w:hint="default" w:ascii="Times New Roman" w:hAnsi="Times New Roman" w:cs="Times New Roman"/>
          <w:b/>
          <w:bCs/>
          <w:spacing w:val="-2"/>
        </w:rPr>
        <w:t>六、客观评价</w:t>
      </w:r>
    </w:p>
    <w:p w14:paraId="4716B1B0">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该项目发表学术论文120篇，其中SCI论文</w:t>
      </w:r>
      <w:r>
        <w:rPr>
          <w:rFonts w:hint="eastAsia" w:ascii="Times New Roman" w:hAnsi="Times New Roman" w:cs="Times New Roman"/>
          <w:spacing w:val="4"/>
          <w:lang w:val="en-US" w:eastAsia="zh-CN"/>
        </w:rPr>
        <w:t>93</w:t>
      </w:r>
      <w:r>
        <w:rPr>
          <w:rFonts w:hint="default" w:ascii="Times New Roman" w:hAnsi="Times New Roman" w:cs="Times New Roman"/>
          <w:spacing w:val="4"/>
        </w:rPr>
        <w:t>篇，包括在Science Bulletin，The Innovation，Earth’ Future和Global Ecology and Biogeography等一区刊物上发表学术论文40。8篇代表性论文他引752次，单篇SCI论文最高他引229次，其中1篇文章为ESI前1%高被引论文。</w:t>
      </w:r>
    </w:p>
    <w:p w14:paraId="3665FC31">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项目第一完成人2015年入选中科院和中组部“西部之光”人才计划，2025年北京朝阳区“凤凰计划”领军人才计划，2023年获“中国生态学学会优秀科技工作者”荣誉称号，2025年中国科学院大学“景观生态学奖”教师奖和2022年获草业科学技术一等奖，2023年受邀参加青藏高原生态保护法立法工作；担任青海省政府法律顾问、国际景观生态学会中国分会理事会理事、中国生态学会高寒生态专业委员会秘书长、中国草学会生态修复专业委员会委员、中国自然资源学会草地资源专业委员会委员、中国农学会农业文化遗产分会理事会理事，Diversity and Distributions副主编、Conservation Letters、Geography and Sustainability、草地学报、草业科学、应用生物与环境学报等期刊编委。鉴于项目成员在植被地理、草地功能和可持续管理方面所做的努力，受邀在《植物生态学报》组织“青藏高原高寒草地：格局与过程”专辑；被Land Degradation &amp; Development邀请组织“Global sustainable land utilization and management: Illustrating the linkages between carbon sink and ecological engineering”专辑。综合而言，研究成果在国内外植被地理学与可持续发展等方面产生了重要影响，项目代表性论文被Nature Reviews Earth &amp; Environment和Nature Communications等期刊广泛引用，且项目第一完成人入选全球前2%顶尖科学家榜单；并受邀支援西藏大学。</w:t>
      </w:r>
    </w:p>
    <w:p w14:paraId="57AA45B6">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b/>
          <w:bCs/>
          <w:spacing w:val="4"/>
        </w:rPr>
      </w:pPr>
      <w:r>
        <w:rPr>
          <w:rFonts w:hint="default" w:ascii="Times New Roman" w:hAnsi="Times New Roman" w:cs="Times New Roman"/>
          <w:b/>
          <w:bCs/>
          <w:spacing w:val="4"/>
        </w:rPr>
        <w:t>（1）中国青藏高原研究会对项目成果进行了评价</w:t>
      </w:r>
    </w:p>
    <w:p w14:paraId="44CCEF1C">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2023年5月23日，由中国青藏高原研究会组织有关专家对该成果进行了评价，认为“青藏高原高寒草地格局-功能-服务及可持续管理”成果整体达到国际先进水平，其中不同草地类型的功能异质性调控机制研究处于国际领先水平。</w:t>
      </w:r>
    </w:p>
    <w:p w14:paraId="514E1A88">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b/>
          <w:bCs/>
          <w:spacing w:val="4"/>
        </w:rPr>
      </w:pPr>
      <w:r>
        <w:rPr>
          <w:rFonts w:hint="default" w:ascii="Times New Roman" w:hAnsi="Times New Roman" w:cs="Times New Roman"/>
          <w:b/>
          <w:bCs/>
          <w:spacing w:val="4"/>
        </w:rPr>
        <w:t>（2）同行专家评价情况</w:t>
      </w:r>
    </w:p>
    <w:p w14:paraId="4F8057EB">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1、青藏高原气候和高寒植被地理格局与功能变化。关于青藏高原气候格局变化的研究成果发表在Earth-Science Reviews，作为高寒生态系统对全球变化响应的主要证据，被Science、United Nations Environment Program（UNEP）以及Intergovernmental Panel on Climate Change（IPCC）等期刊和国际报告引用，被他引104次。其次，高寒生态系统全球变化和植被变化成果发表在Earth’s Future，并入选期刊2022-2023年度高被引论文，被他引229次。</w:t>
      </w:r>
    </w:p>
    <w:p w14:paraId="58A2DEEB">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2、水热耦合模式调控植被碳积累速率空间分异机制的研究成果发表于植被地理领域的经典期刊Global Ecology and Biogeography，被他引90次，入选期刊2020年最佳引用（Top Cited papers-2020）。水热耦合模式调控生态系统功能过程的观点，被多个团队（冯起院士、邵明安院士等）引用于解释青藏高原湿润和干旱地区相异的植被生长、养分吸收与利用、关键生态功能对全球变化的响应。</w:t>
      </w:r>
    </w:p>
    <w:p w14:paraId="77462931">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3、青藏高原高寒草地生态系统功能服务提升与可持续管理。迈向生物多样性保护和促进可持续发展目标的草地管理框架等相关成果在Science Bulletin等期刊发表，被他引72次，产生了广泛的影响。优化草地管理措施，以实现青藏高原可持续发展目标15，并被国际著名期刊《Nature Communications》引用，作为高寒草地适应性管理可以提升生态系统功能和服务的证据。</w:t>
      </w:r>
    </w:p>
    <w:p w14:paraId="42B8B6BF">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b/>
          <w:bCs/>
          <w:spacing w:val="4"/>
        </w:rPr>
      </w:pPr>
      <w:r>
        <w:rPr>
          <w:rFonts w:hint="default" w:ascii="Times New Roman" w:hAnsi="Times New Roman" w:cs="Times New Roman"/>
          <w:b/>
          <w:bCs/>
          <w:spacing w:val="4"/>
        </w:rPr>
        <w:t>（3）社会影响</w:t>
      </w:r>
    </w:p>
    <w:p w14:paraId="7C308B71">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1、电视台采访</w:t>
      </w:r>
    </w:p>
    <w:p w14:paraId="4B3D5834">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项目主要成员在西藏高原生态安全屏障和可持续发展方面的相关事迹与成果在央视（时政纪录片《为人类留一方净土》）、西藏卫士（《西藏诱惑》和《高原新闻眼》栏目），中国科学院青藏高原研究所哔哩哔哩直播平台《那山、那人、那草、那曲》等媒体或机构进行了报道，促进了研究成果与社区发展的有机融合。</w:t>
      </w:r>
    </w:p>
    <w:p w14:paraId="1E61FE71">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2、项目成员孙建受中共阿里地委组织部和阿里地区生态环境局邀请，作为专家之一为阿里地区乡（镇）长生态文明建设做培训。孙建强调，生态保护必须基于西藏植被地理格局与本底资源，坚持山水林田湖草沙冰一体化保护和系统治理，坚持保护优先、自然恢复为主的方针，统筹生态保护、应对气候变化，促进生态环境持续改善，推进区域创建国家生态文明高地。</w:t>
      </w:r>
    </w:p>
    <w:p w14:paraId="60719F23">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b/>
          <w:bCs/>
          <w:spacing w:val="4"/>
        </w:rPr>
      </w:pPr>
      <w:r>
        <w:rPr>
          <w:rFonts w:hint="default" w:ascii="Times New Roman" w:hAnsi="Times New Roman" w:cs="Times New Roman"/>
          <w:b/>
          <w:bCs/>
          <w:spacing w:val="4"/>
        </w:rPr>
        <w:t>（4）政策影响</w:t>
      </w:r>
    </w:p>
    <w:p w14:paraId="202FC373">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r>
        <w:rPr>
          <w:rFonts w:hint="default" w:ascii="Times New Roman" w:hAnsi="Times New Roman" w:cs="Times New Roman"/>
          <w:spacing w:val="4"/>
        </w:rPr>
        <w:t>系列成果形成咨询报告4份。针对高寒生态系统生态安全、生态草种和可持续发展等方面，提交咨询报告4份，包括《亟待推进青藏高原生态型草种产业战略规划的建议》和《关于保障青藏高原冰缘生态系统安全的咨询建议》等，并获得国家领导人批示，以及《西藏率先实现“碳达峰”、“碳中和”解决方案的对策建议》，获西藏自治区领导批示。上述成果有效支撑了高寒生态系统的生态文明建设和可持续管理。</w:t>
      </w:r>
    </w:p>
    <w:p w14:paraId="4FD05166">
      <w:pPr>
        <w:pStyle w:val="2"/>
        <w:keepNext w:val="0"/>
        <w:keepLines w:val="0"/>
        <w:pageBreakBefore w:val="0"/>
        <w:widowControl/>
        <w:kinsoku w:val="0"/>
        <w:wordWrap/>
        <w:overflowPunct/>
        <w:topLinePunct w:val="0"/>
        <w:autoSpaceDE w:val="0"/>
        <w:autoSpaceDN w:val="0"/>
        <w:bidi w:val="0"/>
        <w:adjustRightInd w:val="0"/>
        <w:snapToGrid w:val="0"/>
        <w:spacing w:before="120" w:line="288" w:lineRule="auto"/>
        <w:ind w:left="24" w:right="77" w:firstLine="479"/>
        <w:jc w:val="both"/>
        <w:textAlignment w:val="baseline"/>
        <w:rPr>
          <w:rFonts w:hint="default" w:ascii="Times New Roman" w:hAnsi="Times New Roman" w:cs="Times New Roman"/>
          <w:spacing w:val="4"/>
        </w:rPr>
      </w:pPr>
    </w:p>
    <w:p w14:paraId="40907D2C">
      <w:pPr>
        <w:pStyle w:val="2"/>
        <w:keepNext w:val="0"/>
        <w:keepLines w:val="0"/>
        <w:pageBreakBefore w:val="0"/>
        <w:widowControl/>
        <w:kinsoku w:val="0"/>
        <w:wordWrap/>
        <w:overflowPunct/>
        <w:topLinePunct w:val="0"/>
        <w:autoSpaceDE w:val="0"/>
        <w:autoSpaceDN w:val="0"/>
        <w:bidi w:val="0"/>
        <w:adjustRightInd w:val="0"/>
        <w:snapToGrid w:val="0"/>
        <w:spacing w:before="26" w:line="288" w:lineRule="auto"/>
        <w:ind w:left="480"/>
        <w:textAlignment w:val="baseline"/>
        <w:rPr>
          <w:rFonts w:hint="default" w:ascii="Times New Roman" w:hAnsi="Times New Roman" w:cs="Times New Roman"/>
          <w:b/>
          <w:bCs/>
        </w:rPr>
      </w:pPr>
      <w:r>
        <w:rPr>
          <w:rFonts w:hint="default" w:ascii="Times New Roman" w:hAnsi="Times New Roman" w:cs="Times New Roman"/>
          <w:b/>
          <w:bCs/>
          <w:spacing w:val="-1"/>
        </w:rPr>
        <w:t>七、代表性论文专著目录</w:t>
      </w:r>
    </w:p>
    <w:p w14:paraId="1726543E">
      <w:pPr>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default" w:ascii="Times New Roman" w:hAnsi="Times New Roman" w:cs="Times New Roman"/>
        </w:rPr>
      </w:pPr>
    </w:p>
    <w:tbl>
      <w:tblPr>
        <w:tblStyle w:val="4"/>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320"/>
        <w:gridCol w:w="1282"/>
        <w:gridCol w:w="2475"/>
        <w:gridCol w:w="955"/>
        <w:gridCol w:w="642"/>
        <w:gridCol w:w="427"/>
        <w:gridCol w:w="567"/>
        <w:gridCol w:w="521"/>
      </w:tblGrid>
      <w:tr w14:paraId="118D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14753EA0">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序号</w:t>
            </w:r>
          </w:p>
        </w:tc>
        <w:tc>
          <w:tcPr>
            <w:tcW w:w="1320" w:type="dxa"/>
            <w:tcBorders>
              <w:top w:val="single" w:color="auto" w:sz="4" w:space="0"/>
              <w:left w:val="single" w:color="auto" w:sz="4" w:space="0"/>
              <w:bottom w:val="single" w:color="auto" w:sz="4" w:space="0"/>
              <w:right w:val="single" w:color="auto" w:sz="4" w:space="0"/>
            </w:tcBorders>
            <w:vAlign w:val="center"/>
          </w:tcPr>
          <w:p w14:paraId="70F03612">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论文专著名称</w:t>
            </w:r>
          </w:p>
        </w:tc>
        <w:tc>
          <w:tcPr>
            <w:tcW w:w="1282" w:type="dxa"/>
            <w:tcBorders>
              <w:top w:val="single" w:color="auto" w:sz="4" w:space="0"/>
              <w:left w:val="single" w:color="auto" w:sz="4" w:space="0"/>
              <w:bottom w:val="single" w:color="auto" w:sz="4" w:space="0"/>
              <w:right w:val="single" w:color="auto" w:sz="4" w:space="0"/>
            </w:tcBorders>
            <w:vAlign w:val="center"/>
          </w:tcPr>
          <w:p w14:paraId="4A574859">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刊名</w:t>
            </w:r>
          </w:p>
        </w:tc>
        <w:tc>
          <w:tcPr>
            <w:tcW w:w="2475" w:type="dxa"/>
            <w:tcBorders>
              <w:top w:val="single" w:color="auto" w:sz="4" w:space="0"/>
              <w:left w:val="single" w:color="auto" w:sz="4" w:space="0"/>
              <w:bottom w:val="single" w:color="auto" w:sz="4" w:space="0"/>
              <w:right w:val="single" w:color="auto" w:sz="4" w:space="0"/>
            </w:tcBorders>
            <w:vAlign w:val="center"/>
          </w:tcPr>
          <w:p w14:paraId="117F6942">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作者</w:t>
            </w:r>
          </w:p>
        </w:tc>
        <w:tc>
          <w:tcPr>
            <w:tcW w:w="955" w:type="dxa"/>
            <w:tcBorders>
              <w:top w:val="single" w:color="auto" w:sz="4" w:space="0"/>
              <w:left w:val="single" w:color="auto" w:sz="4" w:space="0"/>
              <w:bottom w:val="single" w:color="auto" w:sz="4" w:space="0"/>
              <w:right w:val="single" w:color="auto" w:sz="4" w:space="0"/>
            </w:tcBorders>
            <w:vAlign w:val="center"/>
          </w:tcPr>
          <w:p w14:paraId="5FF5C42B">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年卷页码（xx年xx卷xx页）</w:t>
            </w:r>
          </w:p>
        </w:tc>
        <w:tc>
          <w:tcPr>
            <w:tcW w:w="642" w:type="dxa"/>
            <w:tcBorders>
              <w:top w:val="single" w:color="auto" w:sz="4" w:space="0"/>
              <w:left w:val="single" w:color="auto" w:sz="4" w:space="0"/>
              <w:bottom w:val="single" w:color="auto" w:sz="4" w:space="0"/>
              <w:right w:val="single" w:color="auto" w:sz="4" w:space="0"/>
            </w:tcBorders>
            <w:vAlign w:val="center"/>
          </w:tcPr>
          <w:p w14:paraId="7273927D">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发表时间</w:t>
            </w:r>
          </w:p>
          <w:p w14:paraId="56C7C2B0">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（年月 日）</w:t>
            </w:r>
          </w:p>
        </w:tc>
        <w:tc>
          <w:tcPr>
            <w:tcW w:w="427" w:type="dxa"/>
            <w:tcBorders>
              <w:top w:val="single" w:color="auto" w:sz="4" w:space="0"/>
              <w:left w:val="single" w:color="auto" w:sz="4" w:space="0"/>
              <w:bottom w:val="single" w:color="auto" w:sz="4" w:space="0"/>
              <w:right w:val="single" w:color="auto" w:sz="4" w:space="0"/>
            </w:tcBorders>
            <w:vAlign w:val="center"/>
          </w:tcPr>
          <w:p w14:paraId="4884CEC0">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通讯作者/第一作者是否为本成果主要完成人</w:t>
            </w:r>
          </w:p>
        </w:tc>
        <w:tc>
          <w:tcPr>
            <w:tcW w:w="567" w:type="dxa"/>
            <w:tcBorders>
              <w:top w:val="single" w:color="auto" w:sz="4" w:space="0"/>
              <w:left w:val="single" w:color="auto" w:sz="4" w:space="0"/>
              <w:bottom w:val="single" w:color="auto" w:sz="4" w:space="0"/>
              <w:right w:val="single" w:color="auto" w:sz="4" w:space="0"/>
            </w:tcBorders>
            <w:vAlign w:val="center"/>
          </w:tcPr>
          <w:p w14:paraId="29FC7C69">
            <w:pPr>
              <w:snapToGrid w:val="0"/>
              <w:jc w:val="center"/>
              <w:rPr>
                <w:rFonts w:ascii="Times New Roman" w:hAnsi="Times New Roman"/>
                <w:b/>
                <w:color w:val="000000" w:themeColor="text1"/>
                <w:szCs w:val="21"/>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SCI 他引次数</w:t>
            </w:r>
          </w:p>
        </w:tc>
        <w:tc>
          <w:tcPr>
            <w:tcW w:w="521" w:type="dxa"/>
            <w:tcBorders>
              <w:top w:val="single" w:color="auto" w:sz="4" w:space="0"/>
              <w:left w:val="single" w:color="auto" w:sz="4" w:space="0"/>
              <w:bottom w:val="single" w:color="auto" w:sz="4" w:space="0"/>
              <w:right w:val="single" w:color="auto" w:sz="4" w:space="0"/>
            </w:tcBorders>
            <w:vAlign w:val="center"/>
          </w:tcPr>
          <w:p w14:paraId="563D87C2">
            <w:pPr>
              <w:snapToGrid w:val="0"/>
              <w:jc w:val="center"/>
              <w:rPr>
                <w:rFonts w:ascii="Times New Roman" w:hAnsi="Times New Roman"/>
                <w:color w:val="000000" w:themeColor="text1"/>
                <w:kern w:val="0"/>
                <w:sz w:val="20"/>
                <w:szCs w:val="20"/>
                <w:highlight w:val="none"/>
                <w14:textFill>
                  <w14:solidFill>
                    <w14:schemeClr w14:val="tx1"/>
                  </w14:solidFill>
                </w14:textFill>
              </w:rPr>
            </w:pPr>
            <w:r>
              <w:rPr>
                <w:rFonts w:ascii="Times New Roman" w:hAnsi="Times New Roman"/>
                <w:b/>
                <w:color w:val="000000" w:themeColor="text1"/>
                <w:szCs w:val="21"/>
                <w:highlight w:val="none"/>
                <w14:textFill>
                  <w14:solidFill>
                    <w14:schemeClr w14:val="tx1"/>
                  </w14:solidFill>
                </w14:textFill>
              </w:rPr>
              <w:t>他引总次数</w:t>
            </w:r>
          </w:p>
        </w:tc>
      </w:tr>
      <w:tr w14:paraId="3CA9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0F8F0201">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1</w:t>
            </w:r>
          </w:p>
        </w:tc>
        <w:tc>
          <w:tcPr>
            <w:tcW w:w="1320" w:type="dxa"/>
            <w:tcBorders>
              <w:top w:val="single" w:color="auto" w:sz="4" w:space="0"/>
              <w:left w:val="single" w:color="auto" w:sz="4" w:space="0"/>
              <w:bottom w:val="single" w:color="auto" w:sz="4" w:space="0"/>
              <w:right w:val="single" w:color="auto" w:sz="4" w:space="0"/>
            </w:tcBorders>
            <w:vAlign w:val="center"/>
          </w:tcPr>
          <w:p w14:paraId="7C4C9E8D">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Optimizing grazing exclusion practices to achieve Goal 15 of the Sustainable Development Goals in the Tibetan Plateau</w:t>
            </w:r>
          </w:p>
        </w:tc>
        <w:tc>
          <w:tcPr>
            <w:tcW w:w="1282" w:type="dxa"/>
            <w:tcBorders>
              <w:top w:val="single" w:color="auto" w:sz="4" w:space="0"/>
              <w:left w:val="single" w:color="auto" w:sz="4" w:space="0"/>
              <w:bottom w:val="single" w:color="auto" w:sz="4" w:space="0"/>
              <w:right w:val="single" w:color="auto" w:sz="4" w:space="0"/>
            </w:tcBorders>
            <w:vAlign w:val="center"/>
          </w:tcPr>
          <w:p w14:paraId="226B7E4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Science Bulletin</w:t>
            </w:r>
          </w:p>
        </w:tc>
        <w:tc>
          <w:tcPr>
            <w:tcW w:w="2475" w:type="dxa"/>
            <w:tcBorders>
              <w:top w:val="single" w:color="auto" w:sz="4" w:space="0"/>
              <w:left w:val="single" w:color="auto" w:sz="4" w:space="0"/>
              <w:bottom w:val="single" w:color="auto" w:sz="4" w:space="0"/>
              <w:right w:val="single" w:color="auto" w:sz="4" w:space="0"/>
            </w:tcBorders>
            <w:vAlign w:val="center"/>
          </w:tcPr>
          <w:p w14:paraId="10D88220">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Jian Sun, Fu Bojie, Zhao Wenwu, Liu Shiliang, Liu Guohua, Zhou Huakun, Shao Xinqing, Cheng Youchao, Zhang Yu, Deng Yanfang</w:t>
            </w:r>
          </w:p>
        </w:tc>
        <w:tc>
          <w:tcPr>
            <w:tcW w:w="955" w:type="dxa"/>
            <w:tcBorders>
              <w:top w:val="single" w:color="auto" w:sz="4" w:space="0"/>
              <w:left w:val="single" w:color="auto" w:sz="4" w:space="0"/>
              <w:bottom w:val="single" w:color="auto" w:sz="4" w:space="0"/>
              <w:right w:val="single" w:color="auto" w:sz="4" w:space="0"/>
            </w:tcBorders>
            <w:vAlign w:val="center"/>
          </w:tcPr>
          <w:p w14:paraId="5D04C3AA">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2021,</w:t>
            </w:r>
            <w:r>
              <w:rPr>
                <w:rFonts w:ascii="Times New Roman" w:hAnsi="Times New Roman" w:eastAsia="楷体_GB2312"/>
                <w:color w:val="000000" w:themeColor="text1"/>
                <w:sz w:val="18"/>
                <w:szCs w:val="18"/>
                <w:highlight w:val="none"/>
                <w14:textFill>
                  <w14:solidFill>
                    <w14:schemeClr w14:val="tx1"/>
                  </w14:solidFill>
                </w14:textFill>
              </w:rPr>
              <w:t>66, 1493-1496</w:t>
            </w:r>
          </w:p>
        </w:tc>
        <w:tc>
          <w:tcPr>
            <w:tcW w:w="642" w:type="dxa"/>
            <w:tcBorders>
              <w:top w:val="single" w:color="auto" w:sz="4" w:space="0"/>
              <w:left w:val="single" w:color="auto" w:sz="4" w:space="0"/>
              <w:bottom w:val="single" w:color="auto" w:sz="4" w:space="0"/>
              <w:right w:val="single" w:color="auto" w:sz="4" w:space="0"/>
            </w:tcBorders>
            <w:vAlign w:val="center"/>
          </w:tcPr>
          <w:p w14:paraId="1AD339E3">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2021.03.14</w:t>
            </w:r>
          </w:p>
        </w:tc>
        <w:tc>
          <w:tcPr>
            <w:tcW w:w="427" w:type="dxa"/>
            <w:tcBorders>
              <w:top w:val="single" w:color="auto" w:sz="4" w:space="0"/>
              <w:left w:val="single" w:color="auto" w:sz="4" w:space="0"/>
              <w:bottom w:val="single" w:color="auto" w:sz="4" w:space="0"/>
              <w:right w:val="single" w:color="auto" w:sz="4" w:space="0"/>
            </w:tcBorders>
            <w:vAlign w:val="center"/>
          </w:tcPr>
          <w:p w14:paraId="346066DF">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715755B2">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56</w:t>
            </w:r>
          </w:p>
        </w:tc>
        <w:tc>
          <w:tcPr>
            <w:tcW w:w="521" w:type="dxa"/>
            <w:tcBorders>
              <w:top w:val="single" w:color="auto" w:sz="4" w:space="0"/>
              <w:left w:val="single" w:color="auto" w:sz="4" w:space="0"/>
              <w:bottom w:val="single" w:color="auto" w:sz="4" w:space="0"/>
              <w:right w:val="single" w:color="auto" w:sz="4" w:space="0"/>
            </w:tcBorders>
            <w:vAlign w:val="center"/>
          </w:tcPr>
          <w:p w14:paraId="3E7F81F4">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72</w:t>
            </w:r>
          </w:p>
        </w:tc>
      </w:tr>
      <w:tr w14:paraId="7155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49E1190">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7F14A0B1">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Toward a sustainable grassland ecosystem worldwide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565AF4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The</w:t>
            </w:r>
            <w:r>
              <w:rPr>
                <w:rFonts w:hint="eastAsia" w:ascii="Times New Roman" w:hAnsi="Times New Roman" w:eastAsia="楷体_GB2312"/>
                <w:color w:val="000000" w:themeColor="text1"/>
                <w:sz w:val="18"/>
                <w:szCs w:val="18"/>
                <w:highlight w:val="none"/>
                <w14:textFill>
                  <w14:solidFill>
                    <w14:schemeClr w14:val="tx1"/>
                  </w14:solidFill>
                </w14:textFill>
              </w:rPr>
              <w:t xml:space="preserve"> </w:t>
            </w:r>
            <w:r>
              <w:rPr>
                <w:rFonts w:ascii="Times New Roman" w:hAnsi="Times New Roman" w:eastAsia="楷体_GB2312"/>
                <w:color w:val="000000" w:themeColor="text1"/>
                <w:sz w:val="18"/>
                <w:szCs w:val="18"/>
                <w:highlight w:val="none"/>
                <w14:textFill>
                  <w14:solidFill>
                    <w14:schemeClr w14:val="tx1"/>
                  </w14:solidFill>
                </w14:textFill>
              </w:rPr>
              <w:t>Innovation</w:t>
            </w:r>
          </w:p>
        </w:tc>
        <w:tc>
          <w:tcPr>
            <w:tcW w:w="2475" w:type="dxa"/>
            <w:tcBorders>
              <w:top w:val="single" w:color="auto" w:sz="4" w:space="0"/>
              <w:left w:val="single" w:color="auto" w:sz="4" w:space="0"/>
              <w:bottom w:val="single" w:color="auto" w:sz="4" w:space="0"/>
              <w:right w:val="single" w:color="auto" w:sz="4" w:space="0"/>
            </w:tcBorders>
            <w:shd w:val="clear" w:color="auto" w:fill="auto"/>
            <w:vAlign w:val="center"/>
          </w:tcPr>
          <w:p w14:paraId="3901C56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Jian Sun, Yi Wang, Shilong Piao, Miao Liu, Guodong Han, Junran Li, Eryuan Liang, Tien Ming Lee, Guohua Liu, Andreas Wilkes, Shiliang Liu, Wenwu Zhao, Huakun Zhou, Mesenbet Yibeltal, Mulatu Liyew Berihun, Dawn Browning, Ayele Almaw Fenta, Atsushi Tsunekawa, Joel Brown, Walter Willms, Mitsuru Tsubo</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13FEEA5F">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2021,</w:t>
            </w:r>
            <w:r>
              <w:rPr>
                <w:rFonts w:ascii="Times New Roman" w:hAnsi="Times New Roman" w:eastAsia="楷体_GB2312"/>
                <w:color w:val="000000" w:themeColor="text1"/>
                <w:sz w:val="18"/>
                <w:szCs w:val="18"/>
                <w:highlight w:val="none"/>
                <w14:textFill>
                  <w14:solidFill>
                    <w14:schemeClr w14:val="tx1"/>
                  </w14:solidFill>
                </w14:textFill>
              </w:rPr>
              <w:t>66, 1493-1496</w:t>
            </w:r>
          </w:p>
        </w:tc>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3571EBD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2022.05.30</w:t>
            </w:r>
          </w:p>
        </w:tc>
        <w:tc>
          <w:tcPr>
            <w:tcW w:w="427" w:type="dxa"/>
            <w:tcBorders>
              <w:top w:val="single" w:color="auto" w:sz="4" w:space="0"/>
              <w:left w:val="single" w:color="auto" w:sz="4" w:space="0"/>
              <w:bottom w:val="single" w:color="auto" w:sz="4" w:space="0"/>
              <w:right w:val="single" w:color="auto" w:sz="4" w:space="0"/>
            </w:tcBorders>
            <w:shd w:val="clear" w:color="auto" w:fill="auto"/>
            <w:vAlign w:val="center"/>
          </w:tcPr>
          <w:p w14:paraId="6E71932F">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16286A7D">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37</w:t>
            </w:r>
          </w:p>
        </w:tc>
        <w:tc>
          <w:tcPr>
            <w:tcW w:w="521" w:type="dxa"/>
            <w:tcBorders>
              <w:top w:val="single" w:color="auto" w:sz="4" w:space="0"/>
              <w:left w:val="single" w:color="auto" w:sz="4" w:space="0"/>
              <w:bottom w:val="single" w:color="auto" w:sz="4" w:space="0"/>
              <w:right w:val="single" w:color="auto" w:sz="4" w:space="0"/>
            </w:tcBorders>
            <w:vAlign w:val="center"/>
          </w:tcPr>
          <w:p w14:paraId="2789ECFE">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77</w:t>
            </w:r>
          </w:p>
        </w:tc>
      </w:tr>
      <w:tr w14:paraId="4A7E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A09C3C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3</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63A8FD90">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Water and heat availability are drivers of the aboveground plant carbon accumulation rate in alpine grasslands on the Tibetan Plateau</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5146DC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Global Ecology and Biogeography</w:t>
            </w:r>
          </w:p>
        </w:tc>
        <w:tc>
          <w:tcPr>
            <w:tcW w:w="2475" w:type="dxa"/>
            <w:tcBorders>
              <w:top w:val="single" w:color="auto" w:sz="4" w:space="0"/>
              <w:left w:val="single" w:color="auto" w:sz="4" w:space="0"/>
              <w:bottom w:val="single" w:color="auto" w:sz="4" w:space="0"/>
              <w:right w:val="single" w:color="auto" w:sz="4" w:space="0"/>
            </w:tcBorders>
            <w:shd w:val="clear" w:color="auto" w:fill="auto"/>
            <w:vAlign w:val="center"/>
          </w:tcPr>
          <w:p w14:paraId="5BC45DC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Jian Sun, Tiancai Zhou, Miao Liu, Youchao Cheng, Guohua Liu, Ming Xu, Peili Shi, Fei Peng, Atsushi Tsunekawa. Yu Liu, Xiaodan Wang, Shikui Dong, Yangjian Zhang, Yingnian L</w:t>
            </w:r>
            <w:r>
              <w:rPr>
                <w:rFonts w:hint="eastAsia" w:ascii="Times New Roman" w:hAnsi="Times New Roman" w:eastAsia="楷体_GB2312"/>
                <w:color w:val="000000" w:themeColor="text1"/>
                <w:sz w:val="18"/>
                <w:szCs w:val="18"/>
                <w:highlight w:val="none"/>
                <w14:textFill>
                  <w14:solidFill>
                    <w14:schemeClr w14:val="tx1"/>
                  </w14:solidFill>
                </w14:textFill>
              </w:rPr>
              <w:t>i</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174EB07A">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2020</w:t>
            </w:r>
            <w:r>
              <w:rPr>
                <w:rFonts w:hint="eastAsia" w:ascii="Times New Roman" w:hAnsi="Times New Roman" w:eastAsia="楷体_GB2312"/>
                <w:color w:val="000000" w:themeColor="text1"/>
                <w:sz w:val="18"/>
                <w:szCs w:val="18"/>
                <w:highlight w:val="none"/>
                <w14:textFill>
                  <w14:solidFill>
                    <w14:schemeClr w14:val="tx1"/>
                  </w14:solidFill>
                </w14:textFill>
              </w:rPr>
              <w:t>,</w:t>
            </w:r>
            <w:r>
              <w:rPr>
                <w:rFonts w:ascii="Times New Roman" w:hAnsi="Times New Roman" w:eastAsia="楷体_GB2312"/>
                <w:color w:val="000000" w:themeColor="text1"/>
                <w:sz w:val="18"/>
                <w:szCs w:val="18"/>
                <w:highlight w:val="none"/>
                <w14:textFill>
                  <w14:solidFill>
                    <w14:schemeClr w14:val="tx1"/>
                  </w14:solidFill>
                </w14:textFill>
              </w:rPr>
              <w:t>29</w:t>
            </w:r>
            <w:r>
              <w:rPr>
                <w:rFonts w:hint="eastAsia" w:ascii="Times New Roman" w:hAnsi="Times New Roman" w:eastAsia="楷体_GB2312"/>
                <w:color w:val="000000" w:themeColor="text1"/>
                <w:sz w:val="18"/>
                <w:szCs w:val="18"/>
                <w:highlight w:val="none"/>
                <w14:textFill>
                  <w14:solidFill>
                    <w14:schemeClr w14:val="tx1"/>
                  </w14:solidFill>
                </w14:textFill>
              </w:rPr>
              <w:t>,</w:t>
            </w:r>
            <w:r>
              <w:rPr>
                <w:rFonts w:ascii="Times New Roman" w:hAnsi="Times New Roman" w:eastAsia="楷体_GB2312"/>
                <w:color w:val="000000" w:themeColor="text1"/>
                <w:sz w:val="18"/>
                <w:szCs w:val="18"/>
                <w:highlight w:val="none"/>
                <w14:textFill>
                  <w14:solidFill>
                    <w14:schemeClr w14:val="tx1"/>
                  </w14:solidFill>
                </w14:textFill>
              </w:rPr>
              <w:t>50–64</w:t>
            </w:r>
          </w:p>
        </w:tc>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40D5049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2019.10.24</w:t>
            </w:r>
          </w:p>
        </w:tc>
        <w:tc>
          <w:tcPr>
            <w:tcW w:w="427" w:type="dxa"/>
            <w:tcBorders>
              <w:top w:val="single" w:color="auto" w:sz="4" w:space="0"/>
              <w:left w:val="single" w:color="auto" w:sz="4" w:space="0"/>
              <w:bottom w:val="single" w:color="auto" w:sz="4" w:space="0"/>
              <w:right w:val="single" w:color="auto" w:sz="4" w:space="0"/>
            </w:tcBorders>
            <w:vAlign w:val="center"/>
          </w:tcPr>
          <w:p w14:paraId="471E37F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6D5635DA">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71</w:t>
            </w:r>
          </w:p>
        </w:tc>
        <w:tc>
          <w:tcPr>
            <w:tcW w:w="521" w:type="dxa"/>
            <w:tcBorders>
              <w:top w:val="single" w:color="auto" w:sz="4" w:space="0"/>
              <w:left w:val="single" w:color="auto" w:sz="4" w:space="0"/>
              <w:bottom w:val="single" w:color="auto" w:sz="4" w:space="0"/>
              <w:right w:val="single" w:color="auto" w:sz="4" w:space="0"/>
            </w:tcBorders>
            <w:vAlign w:val="center"/>
          </w:tcPr>
          <w:p w14:paraId="1F5CE9B4">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90</w:t>
            </w:r>
          </w:p>
        </w:tc>
      </w:tr>
      <w:tr w14:paraId="7797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6C8772C4">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4</w:t>
            </w:r>
          </w:p>
        </w:tc>
        <w:tc>
          <w:tcPr>
            <w:tcW w:w="1320" w:type="dxa"/>
            <w:tcBorders>
              <w:top w:val="single" w:color="auto" w:sz="4" w:space="0"/>
              <w:left w:val="single" w:color="auto" w:sz="4" w:space="0"/>
              <w:bottom w:val="single" w:color="auto" w:sz="4" w:space="0"/>
              <w:right w:val="single" w:color="auto" w:sz="4" w:space="0"/>
            </w:tcBorders>
            <w:vAlign w:val="center"/>
          </w:tcPr>
          <w:p w14:paraId="234AAC2F">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Linkages of the dynamics of glaciers and lakes with the climate elements over the Tibetan Plateau</w:t>
            </w:r>
          </w:p>
        </w:tc>
        <w:tc>
          <w:tcPr>
            <w:tcW w:w="1282" w:type="dxa"/>
            <w:tcBorders>
              <w:top w:val="single" w:color="auto" w:sz="4" w:space="0"/>
              <w:left w:val="single" w:color="auto" w:sz="4" w:space="0"/>
              <w:bottom w:val="single" w:color="auto" w:sz="4" w:space="0"/>
              <w:right w:val="single" w:color="auto" w:sz="4" w:space="0"/>
            </w:tcBorders>
            <w:vAlign w:val="center"/>
          </w:tcPr>
          <w:p w14:paraId="02BC5EF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Earth-cience Reviews</w:t>
            </w:r>
          </w:p>
        </w:tc>
        <w:tc>
          <w:tcPr>
            <w:tcW w:w="2475" w:type="dxa"/>
            <w:tcBorders>
              <w:top w:val="single" w:color="auto" w:sz="4" w:space="0"/>
              <w:left w:val="single" w:color="auto" w:sz="4" w:space="0"/>
              <w:bottom w:val="single" w:color="auto" w:sz="4" w:space="0"/>
              <w:right w:val="single" w:color="auto" w:sz="4" w:space="0"/>
            </w:tcBorders>
            <w:vAlign w:val="center"/>
          </w:tcPr>
          <w:p w14:paraId="0F94060C">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Jian Sun, Tiancai Zhou, Miao Liu,Youchao Cheng, Hua Shang, Liping Zhu, Arshad, A.S., Huan Yu, Genwei Cheng, Guohua Liu, Ming Xu, Wei Deng, Jihui Fan, Xuyang Lu, Yukun Sha</w:t>
            </w:r>
          </w:p>
        </w:tc>
        <w:tc>
          <w:tcPr>
            <w:tcW w:w="955" w:type="dxa"/>
            <w:tcBorders>
              <w:top w:val="single" w:color="auto" w:sz="4" w:space="0"/>
              <w:left w:val="single" w:color="auto" w:sz="4" w:space="0"/>
              <w:bottom w:val="single" w:color="auto" w:sz="4" w:space="0"/>
              <w:right w:val="single" w:color="auto" w:sz="4" w:space="0"/>
            </w:tcBorders>
            <w:vAlign w:val="center"/>
          </w:tcPr>
          <w:p w14:paraId="3CB8A572">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2018, 185</w:t>
            </w:r>
            <w:r>
              <w:rPr>
                <w:rFonts w:hint="eastAsia" w:ascii="Times New Roman" w:hAnsi="Times New Roman" w:eastAsia="楷体_GB2312"/>
                <w:color w:val="000000" w:themeColor="text1"/>
                <w:sz w:val="18"/>
                <w:szCs w:val="18"/>
                <w:highlight w:val="none"/>
                <w14:textFill>
                  <w14:solidFill>
                    <w14:schemeClr w14:val="tx1"/>
                  </w14:solidFill>
                </w14:textFill>
              </w:rPr>
              <w:t>,</w:t>
            </w:r>
            <w:r>
              <w:rPr>
                <w:rFonts w:ascii="Times New Roman" w:hAnsi="Times New Roman" w:eastAsia="楷体_GB2312"/>
                <w:color w:val="000000" w:themeColor="text1"/>
                <w:sz w:val="18"/>
                <w:szCs w:val="18"/>
                <w:highlight w:val="none"/>
                <w14:textFill>
                  <w14:solidFill>
                    <w14:schemeClr w14:val="tx1"/>
                  </w14:solidFill>
                </w14:textFill>
              </w:rPr>
              <w:t>308</w:t>
            </w:r>
            <w:r>
              <w:rPr>
                <w:rFonts w:hint="eastAsia" w:ascii="Times New Roman" w:hAnsi="Times New Roman" w:eastAsia="楷体_GB2312"/>
                <w:color w:val="000000" w:themeColor="text1"/>
                <w:sz w:val="18"/>
                <w:szCs w:val="18"/>
                <w:highlight w:val="none"/>
                <w14:textFill>
                  <w14:solidFill>
                    <w14:schemeClr w14:val="tx1"/>
                  </w14:solidFill>
                </w14:textFill>
              </w:rPr>
              <w:t>-</w:t>
            </w:r>
            <w:r>
              <w:rPr>
                <w:rFonts w:ascii="Times New Roman" w:hAnsi="Times New Roman" w:eastAsia="楷体_GB2312"/>
                <w:color w:val="000000" w:themeColor="text1"/>
                <w:sz w:val="18"/>
                <w:szCs w:val="18"/>
                <w:highlight w:val="none"/>
                <w14:textFill>
                  <w14:solidFill>
                    <w14:schemeClr w14:val="tx1"/>
                  </w14:solidFill>
                </w14:textFill>
              </w:rPr>
              <w:t>324</w:t>
            </w:r>
          </w:p>
        </w:tc>
        <w:tc>
          <w:tcPr>
            <w:tcW w:w="642" w:type="dxa"/>
            <w:tcBorders>
              <w:top w:val="single" w:color="auto" w:sz="4" w:space="0"/>
              <w:left w:val="single" w:color="auto" w:sz="4" w:space="0"/>
              <w:bottom w:val="single" w:color="auto" w:sz="4" w:space="0"/>
              <w:right w:val="single" w:color="auto" w:sz="4" w:space="0"/>
            </w:tcBorders>
            <w:vAlign w:val="center"/>
          </w:tcPr>
          <w:p w14:paraId="12AFE1E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2018.06.21</w:t>
            </w:r>
          </w:p>
        </w:tc>
        <w:tc>
          <w:tcPr>
            <w:tcW w:w="427" w:type="dxa"/>
            <w:tcBorders>
              <w:top w:val="single" w:color="auto" w:sz="4" w:space="0"/>
              <w:left w:val="single" w:color="auto" w:sz="4" w:space="0"/>
              <w:bottom w:val="single" w:color="auto" w:sz="4" w:space="0"/>
              <w:right w:val="single" w:color="auto" w:sz="4" w:space="0"/>
            </w:tcBorders>
            <w:vAlign w:val="center"/>
          </w:tcPr>
          <w:p w14:paraId="007A2C72">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6A07B680">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85</w:t>
            </w:r>
          </w:p>
        </w:tc>
        <w:tc>
          <w:tcPr>
            <w:tcW w:w="521" w:type="dxa"/>
            <w:tcBorders>
              <w:top w:val="single" w:color="auto" w:sz="4" w:space="0"/>
              <w:left w:val="single" w:color="auto" w:sz="4" w:space="0"/>
              <w:bottom w:val="single" w:color="auto" w:sz="4" w:space="0"/>
              <w:right w:val="single" w:color="auto" w:sz="4" w:space="0"/>
            </w:tcBorders>
            <w:vAlign w:val="center"/>
          </w:tcPr>
          <w:p w14:paraId="44F1495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104</w:t>
            </w:r>
          </w:p>
        </w:tc>
      </w:tr>
      <w:tr w14:paraId="5593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A8DD95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5</w:t>
            </w:r>
          </w:p>
        </w:tc>
        <w:tc>
          <w:tcPr>
            <w:tcW w:w="1320" w:type="dxa"/>
            <w:tcBorders>
              <w:top w:val="single" w:color="auto" w:sz="4" w:space="0"/>
              <w:left w:val="single" w:color="auto" w:sz="4" w:space="0"/>
              <w:bottom w:val="single" w:color="auto" w:sz="4" w:space="0"/>
              <w:right w:val="single" w:color="auto" w:sz="4" w:space="0"/>
            </w:tcBorders>
            <w:vAlign w:val="center"/>
          </w:tcPr>
          <w:p w14:paraId="2ED78B5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Dual Influence of Climate Change and Anthropogenic Activities on the Spatiotemporal Vegetation Dynamics Over the Qinghai-Tibetan Plateau From 1981 to 2015</w:t>
            </w:r>
          </w:p>
        </w:tc>
        <w:tc>
          <w:tcPr>
            <w:tcW w:w="1282" w:type="dxa"/>
            <w:tcBorders>
              <w:top w:val="single" w:color="auto" w:sz="4" w:space="0"/>
              <w:left w:val="single" w:color="auto" w:sz="4" w:space="0"/>
              <w:bottom w:val="single" w:color="auto" w:sz="4" w:space="0"/>
              <w:right w:val="single" w:color="auto" w:sz="4" w:space="0"/>
            </w:tcBorders>
            <w:vAlign w:val="center"/>
          </w:tcPr>
          <w:p w14:paraId="1E094D04">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Earth</w:t>
            </w:r>
            <w:r>
              <w:rPr>
                <w:rFonts w:ascii="Times New Roman" w:hAnsi="Times New Roman" w:eastAsia="楷体_GB2312"/>
                <w:color w:val="000000" w:themeColor="text1"/>
                <w:sz w:val="18"/>
                <w:szCs w:val="18"/>
                <w:highlight w:val="none"/>
                <w14:textFill>
                  <w14:solidFill>
                    <w14:schemeClr w14:val="tx1"/>
                  </w14:solidFill>
                </w14:textFill>
              </w:rPr>
              <w:t>’</w:t>
            </w:r>
            <w:r>
              <w:rPr>
                <w:rFonts w:hint="eastAsia" w:ascii="Times New Roman" w:hAnsi="Times New Roman" w:eastAsia="楷体_GB2312"/>
                <w:color w:val="000000" w:themeColor="text1"/>
                <w:sz w:val="18"/>
                <w:szCs w:val="18"/>
                <w:highlight w:val="none"/>
                <w14:textFill>
                  <w14:solidFill>
                    <w14:schemeClr w14:val="tx1"/>
                  </w14:solidFill>
                </w14:textFill>
              </w:rPr>
              <w:t>s Future</w:t>
            </w:r>
          </w:p>
        </w:tc>
        <w:tc>
          <w:tcPr>
            <w:tcW w:w="2475" w:type="dxa"/>
            <w:tcBorders>
              <w:top w:val="single" w:color="auto" w:sz="4" w:space="0"/>
              <w:left w:val="single" w:color="auto" w:sz="4" w:space="0"/>
              <w:bottom w:val="single" w:color="auto" w:sz="4" w:space="0"/>
              <w:right w:val="single" w:color="auto" w:sz="4" w:space="0"/>
            </w:tcBorders>
            <w:vAlign w:val="center"/>
          </w:tcPr>
          <w:p w14:paraId="65DC6612">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Yanqiang Wei, Haiyan Lu, Jinniu Wang, Xufeng Wang, Jian Sun</w:t>
            </w:r>
          </w:p>
        </w:tc>
        <w:tc>
          <w:tcPr>
            <w:tcW w:w="955" w:type="dxa"/>
            <w:tcBorders>
              <w:top w:val="single" w:color="auto" w:sz="4" w:space="0"/>
              <w:left w:val="single" w:color="auto" w:sz="4" w:space="0"/>
              <w:bottom w:val="single" w:color="auto" w:sz="4" w:space="0"/>
              <w:right w:val="single" w:color="auto" w:sz="4" w:space="0"/>
            </w:tcBorders>
            <w:vAlign w:val="center"/>
          </w:tcPr>
          <w:p w14:paraId="5344B5A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2022,10</w:t>
            </w:r>
          </w:p>
        </w:tc>
        <w:tc>
          <w:tcPr>
            <w:tcW w:w="642" w:type="dxa"/>
            <w:tcBorders>
              <w:top w:val="single" w:color="auto" w:sz="4" w:space="0"/>
              <w:left w:val="single" w:color="auto" w:sz="4" w:space="0"/>
              <w:bottom w:val="single" w:color="auto" w:sz="4" w:space="0"/>
              <w:right w:val="single" w:color="auto" w:sz="4" w:space="0"/>
            </w:tcBorders>
            <w:vAlign w:val="center"/>
          </w:tcPr>
          <w:p w14:paraId="0DF99DD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2022.04.24</w:t>
            </w:r>
          </w:p>
        </w:tc>
        <w:tc>
          <w:tcPr>
            <w:tcW w:w="427" w:type="dxa"/>
            <w:tcBorders>
              <w:top w:val="single" w:color="auto" w:sz="4" w:space="0"/>
              <w:left w:val="single" w:color="auto" w:sz="4" w:space="0"/>
              <w:bottom w:val="single" w:color="auto" w:sz="4" w:space="0"/>
              <w:right w:val="single" w:color="auto" w:sz="4" w:space="0"/>
            </w:tcBorders>
            <w:vAlign w:val="center"/>
          </w:tcPr>
          <w:p w14:paraId="3C28F03C">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0995114E">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169</w:t>
            </w:r>
          </w:p>
        </w:tc>
        <w:tc>
          <w:tcPr>
            <w:tcW w:w="521" w:type="dxa"/>
            <w:tcBorders>
              <w:top w:val="single" w:color="auto" w:sz="4" w:space="0"/>
              <w:left w:val="single" w:color="auto" w:sz="4" w:space="0"/>
              <w:bottom w:val="single" w:color="auto" w:sz="4" w:space="0"/>
              <w:right w:val="single" w:color="auto" w:sz="4" w:space="0"/>
            </w:tcBorders>
            <w:vAlign w:val="center"/>
          </w:tcPr>
          <w:p w14:paraId="36C59934">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229</w:t>
            </w:r>
          </w:p>
        </w:tc>
      </w:tr>
      <w:tr w14:paraId="0A44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0CDB23F2">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6</w:t>
            </w:r>
          </w:p>
        </w:tc>
        <w:tc>
          <w:tcPr>
            <w:tcW w:w="1320" w:type="dxa"/>
            <w:tcBorders>
              <w:top w:val="single" w:color="auto" w:sz="4" w:space="0"/>
              <w:left w:val="single" w:color="auto" w:sz="4" w:space="0"/>
              <w:bottom w:val="single" w:color="auto" w:sz="4" w:space="0"/>
              <w:right w:val="single" w:color="auto" w:sz="4" w:space="0"/>
            </w:tcBorders>
            <w:vAlign w:val="center"/>
          </w:tcPr>
          <w:p w14:paraId="4DFEA65F">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Response of net reduction rate in vegetation carbon uptake to climate</w:t>
            </w:r>
          </w:p>
          <w:p w14:paraId="3D4171D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change across a unique gradient zone on the Tibetan Plateau</w:t>
            </w:r>
          </w:p>
        </w:tc>
        <w:tc>
          <w:tcPr>
            <w:tcW w:w="1282" w:type="dxa"/>
            <w:tcBorders>
              <w:top w:val="single" w:color="auto" w:sz="4" w:space="0"/>
              <w:left w:val="single" w:color="auto" w:sz="4" w:space="0"/>
              <w:bottom w:val="single" w:color="auto" w:sz="4" w:space="0"/>
              <w:right w:val="single" w:color="auto" w:sz="4" w:space="0"/>
            </w:tcBorders>
            <w:vAlign w:val="center"/>
          </w:tcPr>
          <w:p w14:paraId="12B90B1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Environmental Research</w:t>
            </w:r>
          </w:p>
        </w:tc>
        <w:tc>
          <w:tcPr>
            <w:tcW w:w="2475" w:type="dxa"/>
            <w:tcBorders>
              <w:top w:val="single" w:color="auto" w:sz="4" w:space="0"/>
              <w:left w:val="single" w:color="auto" w:sz="4" w:space="0"/>
              <w:bottom w:val="single" w:color="auto" w:sz="4" w:space="0"/>
              <w:right w:val="single" w:color="auto" w:sz="4" w:space="0"/>
            </w:tcBorders>
            <w:vAlign w:val="center"/>
          </w:tcPr>
          <w:p w14:paraId="5FEB3DDB">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Jian Sun, Chongchong Ye, Miao Liu, Yi Wang, Ji Chen, Shuai Wang, Xuyang Lu,</w:t>
            </w:r>
          </w:p>
          <w:p w14:paraId="436EE09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Guohua Liu, Ming Xu, Renqiang Li, Shiliang Liu, Huakun Zhou, Zhong Du, Fei Peng,</w:t>
            </w: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 xml:space="preserve"> </w:t>
            </w:r>
            <w:r>
              <w:rPr>
                <w:rFonts w:ascii="Times New Roman" w:hAnsi="Times New Roman" w:eastAsia="楷体_GB2312"/>
                <w:color w:val="000000" w:themeColor="text1"/>
                <w:sz w:val="18"/>
                <w:szCs w:val="18"/>
                <w:highlight w:val="none"/>
                <w:lang w:val="pl-PL"/>
                <w14:textFill>
                  <w14:solidFill>
                    <w14:schemeClr w14:val="tx1"/>
                  </w14:solidFill>
                </w14:textFill>
              </w:rPr>
              <w:t>Atsushi Tsunekawa, Mitsuru Tsubo</w:t>
            </w:r>
          </w:p>
        </w:tc>
        <w:tc>
          <w:tcPr>
            <w:tcW w:w="955" w:type="dxa"/>
            <w:tcBorders>
              <w:top w:val="single" w:color="auto" w:sz="4" w:space="0"/>
              <w:left w:val="single" w:color="auto" w:sz="4" w:space="0"/>
              <w:bottom w:val="single" w:color="auto" w:sz="4" w:space="0"/>
              <w:right w:val="single" w:color="auto" w:sz="4" w:space="0"/>
            </w:tcBorders>
            <w:vAlign w:val="center"/>
          </w:tcPr>
          <w:p w14:paraId="0FAAFF7D">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lang w:val="pl-PL"/>
                <w14:textFill>
                  <w14:solidFill>
                    <w14:schemeClr w14:val="tx1"/>
                  </w14:solidFill>
                </w14:textFill>
              </w:rPr>
              <w:t>2022,</w:t>
            </w:r>
            <w:r>
              <w:rPr>
                <w:rFonts w:ascii="Times New Roman" w:hAnsi="Times New Roman" w:eastAsia="楷体_GB2312"/>
                <w:color w:val="000000" w:themeColor="text1"/>
                <w:sz w:val="18"/>
                <w:szCs w:val="18"/>
                <w:highlight w:val="none"/>
                <w14:textFill>
                  <w14:solidFill>
                    <w14:schemeClr w14:val="tx1"/>
                  </w14:solidFill>
                </w14:textFill>
              </w:rPr>
              <w:t xml:space="preserve"> </w:t>
            </w:r>
            <w:r>
              <w:rPr>
                <w:rFonts w:ascii="Times New Roman" w:hAnsi="Times New Roman" w:eastAsia="楷体_GB2312"/>
                <w:color w:val="000000" w:themeColor="text1"/>
                <w:sz w:val="18"/>
                <w:szCs w:val="18"/>
                <w:highlight w:val="none"/>
                <w:lang w:val="pl-PL"/>
                <w14:textFill>
                  <w14:solidFill>
                    <w14:schemeClr w14:val="tx1"/>
                  </w14:solidFill>
                </w14:textFill>
              </w:rPr>
              <w:t>203, 111894</w:t>
            </w:r>
          </w:p>
        </w:tc>
        <w:tc>
          <w:tcPr>
            <w:tcW w:w="642" w:type="dxa"/>
            <w:tcBorders>
              <w:top w:val="single" w:color="auto" w:sz="4" w:space="0"/>
              <w:left w:val="single" w:color="auto" w:sz="4" w:space="0"/>
              <w:bottom w:val="single" w:color="auto" w:sz="4" w:space="0"/>
              <w:right w:val="single" w:color="auto" w:sz="4" w:space="0"/>
            </w:tcBorders>
            <w:vAlign w:val="center"/>
          </w:tcPr>
          <w:p w14:paraId="2E1810D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2021.8.18</w:t>
            </w:r>
          </w:p>
        </w:tc>
        <w:tc>
          <w:tcPr>
            <w:tcW w:w="427" w:type="dxa"/>
            <w:tcBorders>
              <w:top w:val="single" w:color="auto" w:sz="4" w:space="0"/>
              <w:left w:val="single" w:color="auto" w:sz="4" w:space="0"/>
              <w:bottom w:val="single" w:color="auto" w:sz="4" w:space="0"/>
              <w:right w:val="single" w:color="auto" w:sz="4" w:space="0"/>
            </w:tcBorders>
            <w:vAlign w:val="center"/>
          </w:tcPr>
          <w:p w14:paraId="6C4AC4F2">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0B7264A3">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21</w:t>
            </w:r>
          </w:p>
        </w:tc>
        <w:tc>
          <w:tcPr>
            <w:tcW w:w="521" w:type="dxa"/>
            <w:tcBorders>
              <w:top w:val="single" w:color="auto" w:sz="4" w:space="0"/>
              <w:left w:val="single" w:color="auto" w:sz="4" w:space="0"/>
              <w:bottom w:val="single" w:color="auto" w:sz="4" w:space="0"/>
              <w:right w:val="single" w:color="auto" w:sz="4" w:space="0"/>
            </w:tcBorders>
            <w:vAlign w:val="center"/>
          </w:tcPr>
          <w:p w14:paraId="3E8B8A45">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25</w:t>
            </w:r>
          </w:p>
        </w:tc>
      </w:tr>
      <w:tr w14:paraId="5DC7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ABFF95B">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7</w:t>
            </w:r>
          </w:p>
        </w:tc>
        <w:tc>
          <w:tcPr>
            <w:tcW w:w="1320" w:type="dxa"/>
            <w:tcBorders>
              <w:top w:val="single" w:color="auto" w:sz="4" w:space="0"/>
              <w:left w:val="single" w:color="auto" w:sz="4" w:space="0"/>
              <w:bottom w:val="single" w:color="auto" w:sz="4" w:space="0"/>
              <w:right w:val="single" w:color="auto" w:sz="4" w:space="0"/>
            </w:tcBorders>
            <w:vAlign w:val="center"/>
          </w:tcPr>
          <w:p w14:paraId="31CE057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On the Variation of NDVI with the Principal Climatic Elements</w:t>
            </w:r>
          </w:p>
          <w:p w14:paraId="47B4147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in the Tibetan Plateau</w:t>
            </w:r>
          </w:p>
        </w:tc>
        <w:tc>
          <w:tcPr>
            <w:tcW w:w="1282" w:type="dxa"/>
            <w:tcBorders>
              <w:top w:val="single" w:color="auto" w:sz="4" w:space="0"/>
              <w:left w:val="single" w:color="auto" w:sz="4" w:space="0"/>
              <w:bottom w:val="single" w:color="auto" w:sz="4" w:space="0"/>
              <w:right w:val="single" w:color="auto" w:sz="4" w:space="0"/>
            </w:tcBorders>
            <w:vAlign w:val="center"/>
          </w:tcPr>
          <w:p w14:paraId="62823DEC">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Remote Sensing</w:t>
            </w:r>
          </w:p>
        </w:tc>
        <w:tc>
          <w:tcPr>
            <w:tcW w:w="2475" w:type="dxa"/>
            <w:tcBorders>
              <w:top w:val="single" w:color="auto" w:sz="4" w:space="0"/>
              <w:left w:val="single" w:color="auto" w:sz="4" w:space="0"/>
              <w:bottom w:val="single" w:color="auto" w:sz="4" w:space="0"/>
              <w:right w:val="single" w:color="auto" w:sz="4" w:space="0"/>
            </w:tcBorders>
            <w:vAlign w:val="center"/>
          </w:tcPr>
          <w:p w14:paraId="398E6A04">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Jian Sun, Genwei Cheng, Weipeng Li, Yukun Sha</w:t>
            </w:r>
            <w:r>
              <w:rPr>
                <w:rFonts w:hint="eastAsia" w:ascii="Times New Roman" w:hAnsi="Times New Roman" w:eastAsia="楷体_GB2312"/>
                <w:color w:val="000000" w:themeColor="text1"/>
                <w:sz w:val="18"/>
                <w:szCs w:val="18"/>
                <w:highlight w:val="none"/>
                <w14:textFill>
                  <w14:solidFill>
                    <w14:schemeClr w14:val="tx1"/>
                  </w14:solidFill>
                </w14:textFill>
              </w:rPr>
              <w:t>,</w:t>
            </w:r>
            <w:r>
              <w:rPr>
                <w:rFonts w:ascii="Times New Roman" w:hAnsi="Times New Roman" w:eastAsia="楷体_GB2312"/>
                <w:color w:val="000000" w:themeColor="text1"/>
                <w:sz w:val="18"/>
                <w:szCs w:val="18"/>
                <w:highlight w:val="none"/>
                <w14:textFill>
                  <w14:solidFill>
                    <w14:schemeClr w14:val="tx1"/>
                  </w14:solidFill>
                </w14:textFill>
              </w:rPr>
              <w:t xml:space="preserve"> Yunchuan Yang</w:t>
            </w:r>
          </w:p>
        </w:tc>
        <w:tc>
          <w:tcPr>
            <w:tcW w:w="955" w:type="dxa"/>
            <w:tcBorders>
              <w:top w:val="single" w:color="auto" w:sz="4" w:space="0"/>
              <w:left w:val="single" w:color="auto" w:sz="4" w:space="0"/>
              <w:bottom w:val="single" w:color="auto" w:sz="4" w:space="0"/>
              <w:right w:val="single" w:color="auto" w:sz="4" w:space="0"/>
            </w:tcBorders>
            <w:vAlign w:val="center"/>
          </w:tcPr>
          <w:p w14:paraId="2785E8C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2013, 5, 1894-1911</w:t>
            </w:r>
          </w:p>
        </w:tc>
        <w:tc>
          <w:tcPr>
            <w:tcW w:w="642" w:type="dxa"/>
            <w:tcBorders>
              <w:top w:val="single" w:color="auto" w:sz="4" w:space="0"/>
              <w:left w:val="single" w:color="auto" w:sz="4" w:space="0"/>
              <w:bottom w:val="single" w:color="auto" w:sz="4" w:space="0"/>
              <w:right w:val="single" w:color="auto" w:sz="4" w:space="0"/>
            </w:tcBorders>
            <w:vAlign w:val="center"/>
          </w:tcPr>
          <w:p w14:paraId="57400584">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2013.04.16</w:t>
            </w:r>
          </w:p>
        </w:tc>
        <w:tc>
          <w:tcPr>
            <w:tcW w:w="427" w:type="dxa"/>
            <w:tcBorders>
              <w:top w:val="single" w:color="auto" w:sz="4" w:space="0"/>
              <w:left w:val="single" w:color="auto" w:sz="4" w:space="0"/>
              <w:bottom w:val="single" w:color="auto" w:sz="4" w:space="0"/>
              <w:right w:val="single" w:color="auto" w:sz="4" w:space="0"/>
            </w:tcBorders>
            <w:vAlign w:val="center"/>
          </w:tcPr>
          <w:p w14:paraId="4E20700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4D764C34">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96</w:t>
            </w:r>
          </w:p>
        </w:tc>
        <w:tc>
          <w:tcPr>
            <w:tcW w:w="521" w:type="dxa"/>
            <w:tcBorders>
              <w:top w:val="single" w:color="auto" w:sz="4" w:space="0"/>
              <w:left w:val="single" w:color="auto" w:sz="4" w:space="0"/>
              <w:bottom w:val="single" w:color="auto" w:sz="4" w:space="0"/>
              <w:right w:val="single" w:color="auto" w:sz="4" w:space="0"/>
            </w:tcBorders>
            <w:vAlign w:val="center"/>
          </w:tcPr>
          <w:p w14:paraId="4E563F4E">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137</w:t>
            </w:r>
          </w:p>
        </w:tc>
      </w:tr>
      <w:tr w14:paraId="7448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8A292C6">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8</w:t>
            </w:r>
          </w:p>
        </w:tc>
        <w:tc>
          <w:tcPr>
            <w:tcW w:w="1320" w:type="dxa"/>
            <w:tcBorders>
              <w:top w:val="single" w:color="auto" w:sz="4" w:space="0"/>
              <w:left w:val="single" w:color="auto" w:sz="4" w:space="0"/>
              <w:bottom w:val="single" w:color="auto" w:sz="4" w:space="0"/>
              <w:right w:val="single" w:color="auto" w:sz="4" w:space="0"/>
            </w:tcBorders>
            <w:vAlign w:val="center"/>
          </w:tcPr>
          <w:p w14:paraId="1FE5A36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Plant-microbe interactions regulate the aboveground community nitrogen accumulation rate in different environmental conditions on the Tibetan Plateau</w:t>
            </w:r>
          </w:p>
        </w:tc>
        <w:tc>
          <w:tcPr>
            <w:tcW w:w="1282" w:type="dxa"/>
            <w:tcBorders>
              <w:top w:val="single" w:color="auto" w:sz="4" w:space="0"/>
              <w:left w:val="single" w:color="auto" w:sz="4" w:space="0"/>
              <w:bottom w:val="single" w:color="auto" w:sz="4" w:space="0"/>
              <w:right w:val="single" w:color="auto" w:sz="4" w:space="0"/>
            </w:tcBorders>
            <w:vAlign w:val="center"/>
          </w:tcPr>
          <w:p w14:paraId="47BA685B">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Catena</w:t>
            </w:r>
          </w:p>
        </w:tc>
        <w:tc>
          <w:tcPr>
            <w:tcW w:w="2475" w:type="dxa"/>
            <w:tcBorders>
              <w:top w:val="single" w:color="auto" w:sz="4" w:space="0"/>
              <w:left w:val="single" w:color="auto" w:sz="4" w:space="0"/>
              <w:bottom w:val="single" w:color="auto" w:sz="4" w:space="0"/>
              <w:right w:val="single" w:color="auto" w:sz="4" w:space="0"/>
            </w:tcBorders>
            <w:vAlign w:val="center"/>
          </w:tcPr>
          <w:p w14:paraId="55423EE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Tiancai Zhou</w:t>
            </w:r>
            <w:r>
              <w:rPr>
                <w:rFonts w:hint="eastAsia" w:ascii="Times New Roman" w:hAnsi="Times New Roman" w:eastAsia="楷体_GB2312"/>
                <w:color w:val="000000" w:themeColor="text1"/>
                <w:sz w:val="18"/>
                <w:szCs w:val="18"/>
                <w:highlight w:val="none"/>
                <w14:textFill>
                  <w14:solidFill>
                    <w14:schemeClr w14:val="tx1"/>
                  </w14:solidFill>
                </w14:textFill>
              </w:rPr>
              <w:t xml:space="preserve">, </w:t>
            </w:r>
            <w:r>
              <w:rPr>
                <w:rFonts w:ascii="Times New Roman" w:hAnsi="Times New Roman" w:eastAsia="楷体_GB2312"/>
                <w:color w:val="000000" w:themeColor="text1"/>
                <w:sz w:val="18"/>
                <w:szCs w:val="18"/>
                <w:highlight w:val="none"/>
                <w14:textFill>
                  <w14:solidFill>
                    <w14:schemeClr w14:val="tx1"/>
                  </w14:solidFill>
                </w14:textFill>
              </w:rPr>
              <w:t>Jian Sun</w:t>
            </w:r>
            <w:r>
              <w:rPr>
                <w:rFonts w:hint="eastAsia" w:ascii="Times New Roman" w:hAnsi="Times New Roman" w:eastAsia="楷体_GB2312"/>
                <w:color w:val="000000" w:themeColor="text1"/>
                <w:sz w:val="18"/>
                <w:szCs w:val="18"/>
                <w:highlight w:val="none"/>
                <w14:textFill>
                  <w14:solidFill>
                    <w14:schemeClr w14:val="tx1"/>
                  </w14:solidFill>
                </w14:textFill>
              </w:rPr>
              <w:t xml:space="preserve">, </w:t>
            </w:r>
            <w:r>
              <w:rPr>
                <w:rFonts w:ascii="Times New Roman" w:hAnsi="Times New Roman" w:eastAsia="楷体_GB2312"/>
                <w:color w:val="000000" w:themeColor="text1"/>
                <w:sz w:val="18"/>
                <w:szCs w:val="18"/>
                <w:highlight w:val="none"/>
                <w14:textFill>
                  <w14:solidFill>
                    <w14:schemeClr w14:val="tx1"/>
                  </w14:solidFill>
                </w14:textFill>
              </w:rPr>
              <w:t>Peili Shi</w:t>
            </w:r>
          </w:p>
        </w:tc>
        <w:tc>
          <w:tcPr>
            <w:tcW w:w="955" w:type="dxa"/>
            <w:tcBorders>
              <w:top w:val="single" w:color="auto" w:sz="4" w:space="0"/>
              <w:left w:val="single" w:color="auto" w:sz="4" w:space="0"/>
              <w:bottom w:val="single" w:color="auto" w:sz="4" w:space="0"/>
              <w:right w:val="single" w:color="auto" w:sz="4" w:space="0"/>
            </w:tcBorders>
            <w:vAlign w:val="center"/>
          </w:tcPr>
          <w:p w14:paraId="69740792">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2021,</w:t>
            </w:r>
            <w:r>
              <w:rPr>
                <w:rFonts w:ascii="Times New Roman" w:hAnsi="Times New Roman" w:eastAsia="楷体_GB2312"/>
                <w:color w:val="000000" w:themeColor="text1"/>
                <w:sz w:val="18"/>
                <w:szCs w:val="18"/>
                <w:highlight w:val="none"/>
                <w14:textFill>
                  <w14:solidFill>
                    <w14:schemeClr w14:val="tx1"/>
                  </w14:solidFill>
                </w14:textFill>
              </w:rPr>
              <w:t>204</w:t>
            </w:r>
            <w:r>
              <w:rPr>
                <w:rFonts w:hint="eastAsia" w:ascii="Times New Roman" w:hAnsi="Times New Roman" w:eastAsia="楷体_GB2312"/>
                <w:color w:val="000000" w:themeColor="text1"/>
                <w:sz w:val="18"/>
                <w:szCs w:val="18"/>
                <w:highlight w:val="none"/>
                <w14:textFill>
                  <w14:solidFill>
                    <w14:schemeClr w14:val="tx1"/>
                  </w14:solidFill>
                </w14:textFill>
              </w:rPr>
              <w:t>,</w:t>
            </w:r>
            <w:r>
              <w:rPr>
                <w:rFonts w:ascii="Times New Roman" w:hAnsi="Times New Roman" w:eastAsia="楷体_GB2312"/>
                <w:color w:val="000000" w:themeColor="text1"/>
                <w:sz w:val="18"/>
                <w:szCs w:val="18"/>
                <w:highlight w:val="none"/>
                <w14:textFill>
                  <w14:solidFill>
                    <w14:schemeClr w14:val="tx1"/>
                  </w14:solidFill>
                </w14:textFill>
              </w:rPr>
              <w:t xml:space="preserve"> 105407</w:t>
            </w:r>
          </w:p>
        </w:tc>
        <w:tc>
          <w:tcPr>
            <w:tcW w:w="642" w:type="dxa"/>
            <w:tcBorders>
              <w:top w:val="single" w:color="auto" w:sz="4" w:space="0"/>
              <w:left w:val="single" w:color="auto" w:sz="4" w:space="0"/>
              <w:bottom w:val="single" w:color="auto" w:sz="4" w:space="0"/>
              <w:right w:val="single" w:color="auto" w:sz="4" w:space="0"/>
            </w:tcBorders>
            <w:vAlign w:val="center"/>
          </w:tcPr>
          <w:p w14:paraId="23535C3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2021.05.01</w:t>
            </w:r>
          </w:p>
        </w:tc>
        <w:tc>
          <w:tcPr>
            <w:tcW w:w="427" w:type="dxa"/>
            <w:tcBorders>
              <w:top w:val="single" w:color="auto" w:sz="4" w:space="0"/>
              <w:left w:val="single" w:color="auto" w:sz="4" w:space="0"/>
              <w:bottom w:val="single" w:color="auto" w:sz="4" w:space="0"/>
              <w:right w:val="single" w:color="auto" w:sz="4" w:space="0"/>
            </w:tcBorders>
            <w:vAlign w:val="center"/>
          </w:tcPr>
          <w:p w14:paraId="500533DF">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72A3CAF3">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16</w:t>
            </w:r>
          </w:p>
        </w:tc>
        <w:tc>
          <w:tcPr>
            <w:tcW w:w="521" w:type="dxa"/>
            <w:tcBorders>
              <w:top w:val="single" w:color="auto" w:sz="4" w:space="0"/>
              <w:left w:val="single" w:color="auto" w:sz="4" w:space="0"/>
              <w:bottom w:val="single" w:color="auto" w:sz="4" w:space="0"/>
              <w:right w:val="single" w:color="auto" w:sz="4" w:space="0"/>
            </w:tcBorders>
            <w:vAlign w:val="center"/>
          </w:tcPr>
          <w:p w14:paraId="10ADBD6C">
            <w:pPr>
              <w:spacing w:line="240" w:lineRule="exact"/>
              <w:rPr>
                <w:rFonts w:hint="default" w:ascii="Times New Roman" w:hAnsi="Times New Roman" w:eastAsia="楷体_GB2312"/>
                <w:color w:val="000000" w:themeColor="text1"/>
                <w:sz w:val="18"/>
                <w:szCs w:val="18"/>
                <w:highlight w:val="none"/>
                <w:lang w:val="en-US" w:eastAsia="zh-CN"/>
                <w14:textFill>
                  <w14:solidFill>
                    <w14:schemeClr w14:val="tx1"/>
                  </w14:solidFill>
                </w14:textFill>
              </w:rPr>
            </w:pPr>
            <w:r>
              <w:rPr>
                <w:rFonts w:hint="eastAsia" w:ascii="Times New Roman" w:hAnsi="Times New Roman" w:eastAsia="楷体_GB2312"/>
                <w:color w:val="000000" w:themeColor="text1"/>
                <w:sz w:val="18"/>
                <w:szCs w:val="18"/>
                <w:highlight w:val="none"/>
                <w:lang w:val="en-US" w:eastAsia="zh-CN"/>
                <w14:textFill>
                  <w14:solidFill>
                    <w14:schemeClr w14:val="tx1"/>
                  </w14:solidFill>
                </w14:textFill>
              </w:rPr>
              <w:t>18</w:t>
            </w:r>
          </w:p>
        </w:tc>
      </w:tr>
    </w:tbl>
    <w:p w14:paraId="631224CC">
      <w:pPr>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default" w:ascii="Times New Roman" w:hAnsi="Times New Roman" w:cs="Times New Roman"/>
          <w:sz w:val="21"/>
        </w:rPr>
      </w:pPr>
    </w:p>
    <w:p w14:paraId="09039407">
      <w:pPr>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default" w:ascii="Times New Roman" w:hAnsi="Times New Roman" w:eastAsia="Arial" w:cs="Times New Roman"/>
          <w:sz w:val="21"/>
          <w:szCs w:val="21"/>
        </w:rPr>
        <w:sectPr>
          <w:pgSz w:w="11906" w:h="16839"/>
          <w:pgMar w:top="1431" w:right="1329" w:bottom="0" w:left="1328" w:header="0" w:footer="0" w:gutter="0"/>
          <w:cols w:space="720" w:num="1"/>
        </w:sectPr>
      </w:pPr>
    </w:p>
    <w:p w14:paraId="3D5EA365">
      <w:pPr>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default" w:ascii="Times New Roman" w:hAnsi="Times New Roman" w:cs="Times New Roman"/>
          <w:sz w:val="2"/>
        </w:rPr>
      </w:pPr>
    </w:p>
    <w:p w14:paraId="30895740">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26" w:line="288" w:lineRule="auto"/>
        <w:ind w:left="480"/>
        <w:textAlignment w:val="baseline"/>
        <w:rPr>
          <w:rFonts w:hint="eastAsia" w:ascii="Times New Roman" w:hAnsi="Times New Roman" w:cs="Times New Roman"/>
          <w:b/>
          <w:bCs/>
          <w:spacing w:val="-1"/>
          <w:lang w:val="en-US" w:eastAsia="zh-CN"/>
        </w:rPr>
      </w:pPr>
      <w:r>
        <w:rPr>
          <w:rFonts w:hint="default" w:ascii="Times New Roman" w:hAnsi="Times New Roman" w:cs="Times New Roman"/>
          <w:b/>
          <w:bCs/>
          <w:spacing w:val="-1"/>
        </w:rPr>
        <w:t>主要知识产权</w:t>
      </w:r>
      <w:r>
        <w:rPr>
          <w:rFonts w:hint="eastAsia" w:ascii="Times New Roman" w:hAnsi="Times New Roman" w:cs="Times New Roman"/>
          <w:b/>
          <w:bCs/>
          <w:spacing w:val="-1"/>
          <w:lang w:val="en-US" w:eastAsia="zh-CN"/>
        </w:rPr>
        <w:t>目录</w:t>
      </w:r>
    </w:p>
    <w:tbl>
      <w:tblPr>
        <w:tblStyle w:val="4"/>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951"/>
        <w:gridCol w:w="917"/>
        <w:gridCol w:w="995"/>
        <w:gridCol w:w="1134"/>
        <w:gridCol w:w="850"/>
        <w:gridCol w:w="851"/>
        <w:gridCol w:w="1183"/>
      </w:tblGrid>
      <w:tr w14:paraId="06623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cBorders>
            <w:vAlign w:val="center"/>
          </w:tcPr>
          <w:p w14:paraId="7F2B1F50">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知识产权</w:t>
            </w:r>
          </w:p>
          <w:p w14:paraId="345D2B5C">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（标准）类别</w:t>
            </w:r>
          </w:p>
        </w:tc>
        <w:tc>
          <w:tcPr>
            <w:tcW w:w="1260" w:type="dxa"/>
            <w:tcBorders>
              <w:top w:val="single" w:color="auto" w:sz="8" w:space="0"/>
              <w:left w:val="single" w:color="auto" w:sz="4" w:space="0"/>
              <w:bottom w:val="single" w:color="auto" w:sz="4" w:space="0"/>
              <w:right w:val="single" w:color="auto" w:sz="4" w:space="0"/>
            </w:tcBorders>
            <w:vAlign w:val="center"/>
          </w:tcPr>
          <w:p w14:paraId="75554674">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知识产权（标准）</w:t>
            </w:r>
          </w:p>
          <w:p w14:paraId="637CCEC5">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具体名称</w:t>
            </w:r>
          </w:p>
        </w:tc>
        <w:tc>
          <w:tcPr>
            <w:tcW w:w="951" w:type="dxa"/>
            <w:tcBorders>
              <w:top w:val="single" w:color="auto" w:sz="8" w:space="0"/>
              <w:left w:val="single" w:color="auto" w:sz="4" w:space="0"/>
              <w:bottom w:val="single" w:color="auto" w:sz="4" w:space="0"/>
              <w:right w:val="single" w:color="auto" w:sz="4" w:space="0"/>
            </w:tcBorders>
            <w:vAlign w:val="center"/>
          </w:tcPr>
          <w:p w14:paraId="46153482">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国家</w:t>
            </w:r>
          </w:p>
          <w:p w14:paraId="368C2A02">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（地区）</w:t>
            </w:r>
          </w:p>
        </w:tc>
        <w:tc>
          <w:tcPr>
            <w:tcW w:w="917" w:type="dxa"/>
            <w:tcBorders>
              <w:top w:val="single" w:color="auto" w:sz="8" w:space="0"/>
              <w:left w:val="single" w:color="auto" w:sz="4" w:space="0"/>
              <w:bottom w:val="single" w:color="auto" w:sz="4" w:space="0"/>
              <w:right w:val="single" w:color="auto" w:sz="4" w:space="0"/>
            </w:tcBorders>
            <w:vAlign w:val="center"/>
          </w:tcPr>
          <w:p w14:paraId="3A344CD8">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授权号（标准编号）</w:t>
            </w:r>
          </w:p>
        </w:tc>
        <w:tc>
          <w:tcPr>
            <w:tcW w:w="995" w:type="dxa"/>
            <w:tcBorders>
              <w:top w:val="single" w:color="auto" w:sz="8" w:space="0"/>
              <w:left w:val="single" w:color="auto" w:sz="4" w:space="0"/>
              <w:bottom w:val="single" w:color="auto" w:sz="4" w:space="0"/>
              <w:right w:val="single" w:color="auto" w:sz="4" w:space="0"/>
            </w:tcBorders>
            <w:vAlign w:val="center"/>
          </w:tcPr>
          <w:p w14:paraId="0374C434">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授权（标准发布）日期</w:t>
            </w:r>
          </w:p>
        </w:tc>
        <w:tc>
          <w:tcPr>
            <w:tcW w:w="1134" w:type="dxa"/>
            <w:tcBorders>
              <w:top w:val="single" w:color="auto" w:sz="8" w:space="0"/>
              <w:left w:val="single" w:color="auto" w:sz="4" w:space="0"/>
              <w:bottom w:val="single" w:color="auto" w:sz="4" w:space="0"/>
              <w:right w:val="single" w:color="auto" w:sz="4" w:space="0"/>
            </w:tcBorders>
            <w:vAlign w:val="center"/>
          </w:tcPr>
          <w:p w14:paraId="3197A82D">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证书编号</w:t>
            </w:r>
          </w:p>
          <w:p w14:paraId="221BA369">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（标准批准发布</w:t>
            </w:r>
          </w:p>
          <w:p w14:paraId="1958BD8D">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部门）</w:t>
            </w:r>
          </w:p>
        </w:tc>
        <w:tc>
          <w:tcPr>
            <w:tcW w:w="850" w:type="dxa"/>
            <w:tcBorders>
              <w:top w:val="single" w:color="auto" w:sz="8" w:space="0"/>
              <w:left w:val="single" w:color="auto" w:sz="4" w:space="0"/>
              <w:bottom w:val="single" w:color="auto" w:sz="4" w:space="0"/>
              <w:right w:val="single" w:color="auto" w:sz="4" w:space="0"/>
            </w:tcBorders>
            <w:vAlign w:val="center"/>
          </w:tcPr>
          <w:p w14:paraId="7C6C8BDB">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权利人（标准起草</w:t>
            </w:r>
          </w:p>
          <w:p w14:paraId="6B3E5541">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单位）</w:t>
            </w:r>
          </w:p>
        </w:tc>
        <w:tc>
          <w:tcPr>
            <w:tcW w:w="851" w:type="dxa"/>
            <w:tcBorders>
              <w:top w:val="single" w:color="auto" w:sz="8" w:space="0"/>
              <w:left w:val="single" w:color="auto" w:sz="4" w:space="0"/>
              <w:bottom w:val="single" w:color="auto" w:sz="4" w:space="0"/>
              <w:right w:val="single" w:color="auto" w:sz="4" w:space="0"/>
            </w:tcBorders>
            <w:vAlign w:val="center"/>
          </w:tcPr>
          <w:p w14:paraId="515992D4">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发明人（标准起草人）</w:t>
            </w:r>
          </w:p>
        </w:tc>
        <w:tc>
          <w:tcPr>
            <w:tcW w:w="1183" w:type="dxa"/>
            <w:tcBorders>
              <w:top w:val="single" w:color="auto" w:sz="8" w:space="0"/>
              <w:left w:val="single" w:color="auto" w:sz="4" w:space="0"/>
              <w:bottom w:val="single" w:color="auto" w:sz="4" w:space="0"/>
              <w:right w:val="single" w:color="auto" w:sz="8" w:space="0"/>
            </w:tcBorders>
            <w:vAlign w:val="center"/>
          </w:tcPr>
          <w:p w14:paraId="74629E5D">
            <w:pPr>
              <w:pStyle w:val="3"/>
              <w:spacing w:line="390" w:lineRule="exact"/>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发明专利（标准）有效状态</w:t>
            </w:r>
          </w:p>
        </w:tc>
      </w:tr>
      <w:tr w14:paraId="1AF4D8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241087F1">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发明专利</w:t>
            </w:r>
          </w:p>
        </w:tc>
        <w:tc>
          <w:tcPr>
            <w:tcW w:w="1260" w:type="dxa"/>
            <w:tcBorders>
              <w:top w:val="single" w:color="auto" w:sz="4" w:space="0"/>
              <w:left w:val="single" w:color="auto" w:sz="4" w:space="0"/>
              <w:bottom w:val="single" w:color="auto" w:sz="4" w:space="0"/>
              <w:right w:val="single" w:color="auto" w:sz="4" w:space="0"/>
            </w:tcBorders>
          </w:tcPr>
          <w:p w14:paraId="293BFC66">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披碱草和绿麦草种子厩肥包衣方法</w:t>
            </w:r>
          </w:p>
        </w:tc>
        <w:tc>
          <w:tcPr>
            <w:tcW w:w="951" w:type="dxa"/>
            <w:tcBorders>
              <w:top w:val="single" w:color="auto" w:sz="4" w:space="0"/>
              <w:left w:val="single" w:color="auto" w:sz="4" w:space="0"/>
              <w:bottom w:val="single" w:color="auto" w:sz="4" w:space="0"/>
              <w:right w:val="single" w:color="auto" w:sz="4" w:space="0"/>
            </w:tcBorders>
          </w:tcPr>
          <w:p w14:paraId="7D4E925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中国</w:t>
            </w:r>
          </w:p>
        </w:tc>
        <w:tc>
          <w:tcPr>
            <w:tcW w:w="917" w:type="dxa"/>
            <w:tcBorders>
              <w:top w:val="single" w:color="auto" w:sz="4" w:space="0"/>
              <w:left w:val="single" w:color="auto" w:sz="4" w:space="0"/>
              <w:bottom w:val="single" w:color="auto" w:sz="4" w:space="0"/>
              <w:right w:val="single" w:color="auto" w:sz="4" w:space="0"/>
            </w:tcBorders>
          </w:tcPr>
          <w:p w14:paraId="4A512A23">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CN11277204</w:t>
            </w:r>
            <w:bookmarkStart w:id="0" w:name="_GoBack"/>
            <w:bookmarkEnd w:id="0"/>
            <w:r>
              <w:rPr>
                <w:rFonts w:ascii="Times New Roman" w:hAnsi="Times New Roman" w:eastAsia="楷体_GB2312"/>
                <w:color w:val="000000" w:themeColor="text1"/>
                <w:sz w:val="18"/>
                <w:szCs w:val="18"/>
                <w:highlight w:val="none"/>
                <w14:textFill>
                  <w14:solidFill>
                    <w14:schemeClr w14:val="tx1"/>
                  </w14:solidFill>
                </w14:textFill>
              </w:rPr>
              <w:t>6 B</w:t>
            </w:r>
          </w:p>
        </w:tc>
        <w:tc>
          <w:tcPr>
            <w:tcW w:w="995" w:type="dxa"/>
            <w:tcBorders>
              <w:top w:val="single" w:color="auto" w:sz="4" w:space="0"/>
              <w:left w:val="single" w:color="auto" w:sz="4" w:space="0"/>
              <w:bottom w:val="single" w:color="auto" w:sz="4" w:space="0"/>
              <w:right w:val="single" w:color="auto" w:sz="4" w:space="0"/>
            </w:tcBorders>
          </w:tcPr>
          <w:p w14:paraId="26CA576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2023年05月05日</w:t>
            </w:r>
          </w:p>
        </w:tc>
        <w:tc>
          <w:tcPr>
            <w:tcW w:w="1134" w:type="dxa"/>
            <w:tcBorders>
              <w:top w:val="single" w:color="auto" w:sz="4" w:space="0"/>
              <w:left w:val="single" w:color="auto" w:sz="4" w:space="0"/>
              <w:bottom w:val="single" w:color="auto" w:sz="4" w:space="0"/>
              <w:right w:val="single" w:color="auto" w:sz="4" w:space="0"/>
            </w:tcBorders>
          </w:tcPr>
          <w:p w14:paraId="3B8810B1">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5942610</w:t>
            </w:r>
          </w:p>
        </w:tc>
        <w:tc>
          <w:tcPr>
            <w:tcW w:w="850" w:type="dxa"/>
            <w:tcBorders>
              <w:top w:val="single" w:color="auto" w:sz="4" w:space="0"/>
              <w:left w:val="single" w:color="auto" w:sz="4" w:space="0"/>
              <w:bottom w:val="single" w:color="auto" w:sz="4" w:space="0"/>
              <w:right w:val="single" w:color="auto" w:sz="4" w:space="0"/>
            </w:tcBorders>
          </w:tcPr>
          <w:p w14:paraId="6DF51CF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中国科学院青藏高原研究所</w:t>
            </w:r>
          </w:p>
        </w:tc>
        <w:tc>
          <w:tcPr>
            <w:tcW w:w="851" w:type="dxa"/>
            <w:tcBorders>
              <w:top w:val="single" w:color="auto" w:sz="4" w:space="0"/>
              <w:left w:val="single" w:color="auto" w:sz="4" w:space="0"/>
              <w:bottom w:val="single" w:color="auto" w:sz="4" w:space="0"/>
              <w:right w:val="single" w:color="auto" w:sz="4" w:space="0"/>
            </w:tcBorders>
          </w:tcPr>
          <w:p w14:paraId="6F64C7DB">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斯确多吉;南吉;汪诗平;姜丽丽;次仁曲宗;尕藏加</w:t>
            </w:r>
          </w:p>
        </w:tc>
        <w:tc>
          <w:tcPr>
            <w:tcW w:w="1183" w:type="dxa"/>
            <w:tcBorders>
              <w:top w:val="single" w:color="auto" w:sz="4" w:space="0"/>
              <w:left w:val="single" w:color="auto" w:sz="4" w:space="0"/>
              <w:bottom w:val="single" w:color="auto" w:sz="4" w:space="0"/>
              <w:right w:val="single" w:color="auto" w:sz="8" w:space="0"/>
            </w:tcBorders>
          </w:tcPr>
          <w:p w14:paraId="0854094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有效</w:t>
            </w:r>
          </w:p>
        </w:tc>
      </w:tr>
      <w:tr w14:paraId="3B075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3E176D47">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实用新型专利</w:t>
            </w:r>
          </w:p>
        </w:tc>
        <w:tc>
          <w:tcPr>
            <w:tcW w:w="1260" w:type="dxa"/>
            <w:tcBorders>
              <w:top w:val="single" w:color="auto" w:sz="4" w:space="0"/>
              <w:left w:val="single" w:color="auto" w:sz="4" w:space="0"/>
              <w:bottom w:val="single" w:color="auto" w:sz="4" w:space="0"/>
              <w:right w:val="single" w:color="auto" w:sz="4" w:space="0"/>
            </w:tcBorders>
          </w:tcPr>
          <w:p w14:paraId="23C8189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一种基于历史地理信息系统的地理信息查询及展示平台</w:t>
            </w:r>
          </w:p>
        </w:tc>
        <w:tc>
          <w:tcPr>
            <w:tcW w:w="951" w:type="dxa"/>
            <w:tcBorders>
              <w:top w:val="single" w:color="auto" w:sz="4" w:space="0"/>
              <w:left w:val="single" w:color="auto" w:sz="4" w:space="0"/>
              <w:bottom w:val="single" w:color="auto" w:sz="4" w:space="0"/>
              <w:right w:val="single" w:color="auto" w:sz="4" w:space="0"/>
            </w:tcBorders>
          </w:tcPr>
          <w:p w14:paraId="4E63D32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中国</w:t>
            </w:r>
          </w:p>
        </w:tc>
        <w:tc>
          <w:tcPr>
            <w:tcW w:w="917" w:type="dxa"/>
            <w:tcBorders>
              <w:top w:val="single" w:color="auto" w:sz="4" w:space="0"/>
              <w:left w:val="single" w:color="auto" w:sz="4" w:space="0"/>
              <w:bottom w:val="single" w:color="auto" w:sz="4" w:space="0"/>
              <w:right w:val="single" w:color="auto" w:sz="4" w:space="0"/>
            </w:tcBorders>
          </w:tcPr>
          <w:p w14:paraId="66A8AD3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CN210573775 U</w:t>
            </w:r>
          </w:p>
        </w:tc>
        <w:tc>
          <w:tcPr>
            <w:tcW w:w="995" w:type="dxa"/>
            <w:tcBorders>
              <w:top w:val="single" w:color="auto" w:sz="4" w:space="0"/>
              <w:left w:val="single" w:color="auto" w:sz="4" w:space="0"/>
              <w:bottom w:val="single" w:color="auto" w:sz="4" w:space="0"/>
              <w:right w:val="single" w:color="auto" w:sz="4" w:space="0"/>
            </w:tcBorders>
          </w:tcPr>
          <w:p w14:paraId="700A6209">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2020年05月19日</w:t>
            </w:r>
          </w:p>
        </w:tc>
        <w:tc>
          <w:tcPr>
            <w:tcW w:w="1134" w:type="dxa"/>
            <w:tcBorders>
              <w:top w:val="single" w:color="auto" w:sz="4" w:space="0"/>
              <w:left w:val="single" w:color="auto" w:sz="4" w:space="0"/>
              <w:bottom w:val="single" w:color="auto" w:sz="4" w:space="0"/>
              <w:right w:val="single" w:color="auto" w:sz="4" w:space="0"/>
            </w:tcBorders>
          </w:tcPr>
          <w:p w14:paraId="595FD68C">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10529663</w:t>
            </w:r>
          </w:p>
        </w:tc>
        <w:tc>
          <w:tcPr>
            <w:tcW w:w="850" w:type="dxa"/>
            <w:tcBorders>
              <w:top w:val="single" w:color="auto" w:sz="4" w:space="0"/>
              <w:left w:val="single" w:color="auto" w:sz="4" w:space="0"/>
              <w:bottom w:val="single" w:color="auto" w:sz="4" w:space="0"/>
              <w:right w:val="single" w:color="auto" w:sz="4" w:space="0"/>
            </w:tcBorders>
          </w:tcPr>
          <w:p w14:paraId="4CB6ACA0">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中国科学院西北生态环境资源研究院</w:t>
            </w:r>
          </w:p>
        </w:tc>
        <w:tc>
          <w:tcPr>
            <w:tcW w:w="851" w:type="dxa"/>
            <w:tcBorders>
              <w:top w:val="single" w:color="auto" w:sz="4" w:space="0"/>
              <w:left w:val="single" w:color="auto" w:sz="4" w:space="0"/>
              <w:bottom w:val="single" w:color="auto" w:sz="4" w:space="0"/>
              <w:right w:val="single" w:color="auto" w:sz="4" w:space="0"/>
            </w:tcBorders>
          </w:tcPr>
          <w:p w14:paraId="170941F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魏彦强</w:t>
            </w:r>
          </w:p>
        </w:tc>
        <w:tc>
          <w:tcPr>
            <w:tcW w:w="1183" w:type="dxa"/>
            <w:tcBorders>
              <w:top w:val="single" w:color="auto" w:sz="4" w:space="0"/>
              <w:left w:val="single" w:color="auto" w:sz="4" w:space="0"/>
              <w:bottom w:val="single" w:color="auto" w:sz="4" w:space="0"/>
              <w:right w:val="single" w:color="auto" w:sz="8" w:space="0"/>
            </w:tcBorders>
          </w:tcPr>
          <w:p w14:paraId="59340096">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有效</w:t>
            </w:r>
          </w:p>
        </w:tc>
      </w:tr>
      <w:tr w14:paraId="5E528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23AB2D82">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实用新型专利</w:t>
            </w:r>
          </w:p>
        </w:tc>
        <w:tc>
          <w:tcPr>
            <w:tcW w:w="1260" w:type="dxa"/>
            <w:tcBorders>
              <w:top w:val="single" w:color="auto" w:sz="4" w:space="0"/>
              <w:left w:val="single" w:color="auto" w:sz="4" w:space="0"/>
              <w:bottom w:val="single" w:color="auto" w:sz="4" w:space="0"/>
              <w:right w:val="single" w:color="auto" w:sz="4" w:space="0"/>
            </w:tcBorders>
          </w:tcPr>
          <w:p w14:paraId="78FDA65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一种用于地理信息查询和网络信息采集的安全装置</w:t>
            </w:r>
          </w:p>
        </w:tc>
        <w:tc>
          <w:tcPr>
            <w:tcW w:w="951" w:type="dxa"/>
            <w:tcBorders>
              <w:top w:val="single" w:color="auto" w:sz="4" w:space="0"/>
              <w:left w:val="single" w:color="auto" w:sz="4" w:space="0"/>
              <w:bottom w:val="single" w:color="auto" w:sz="4" w:space="0"/>
              <w:right w:val="single" w:color="auto" w:sz="4" w:space="0"/>
            </w:tcBorders>
          </w:tcPr>
          <w:p w14:paraId="35E3812B">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中国</w:t>
            </w:r>
          </w:p>
        </w:tc>
        <w:tc>
          <w:tcPr>
            <w:tcW w:w="917" w:type="dxa"/>
            <w:tcBorders>
              <w:top w:val="single" w:color="auto" w:sz="4" w:space="0"/>
              <w:left w:val="single" w:color="auto" w:sz="4" w:space="0"/>
              <w:bottom w:val="single" w:color="auto" w:sz="4" w:space="0"/>
              <w:right w:val="single" w:color="auto" w:sz="4" w:space="0"/>
            </w:tcBorders>
          </w:tcPr>
          <w:p w14:paraId="73DF2A8E">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CN210537137 U</w:t>
            </w:r>
          </w:p>
        </w:tc>
        <w:tc>
          <w:tcPr>
            <w:tcW w:w="995" w:type="dxa"/>
            <w:tcBorders>
              <w:top w:val="single" w:color="auto" w:sz="4" w:space="0"/>
              <w:left w:val="single" w:color="auto" w:sz="4" w:space="0"/>
              <w:bottom w:val="single" w:color="auto" w:sz="4" w:space="0"/>
              <w:right w:val="single" w:color="auto" w:sz="4" w:space="0"/>
            </w:tcBorders>
          </w:tcPr>
          <w:p w14:paraId="537084EB">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2020年05月15日</w:t>
            </w:r>
          </w:p>
        </w:tc>
        <w:tc>
          <w:tcPr>
            <w:tcW w:w="1134" w:type="dxa"/>
            <w:tcBorders>
              <w:top w:val="single" w:color="auto" w:sz="4" w:space="0"/>
              <w:left w:val="single" w:color="auto" w:sz="4" w:space="0"/>
              <w:bottom w:val="single" w:color="auto" w:sz="4" w:space="0"/>
              <w:right w:val="single" w:color="auto" w:sz="4" w:space="0"/>
            </w:tcBorders>
          </w:tcPr>
          <w:p w14:paraId="1EA8049D">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10519222</w:t>
            </w:r>
          </w:p>
        </w:tc>
        <w:tc>
          <w:tcPr>
            <w:tcW w:w="850" w:type="dxa"/>
            <w:tcBorders>
              <w:top w:val="single" w:color="auto" w:sz="4" w:space="0"/>
              <w:left w:val="single" w:color="auto" w:sz="4" w:space="0"/>
              <w:bottom w:val="single" w:color="auto" w:sz="4" w:space="0"/>
              <w:right w:val="single" w:color="auto" w:sz="4" w:space="0"/>
            </w:tcBorders>
          </w:tcPr>
          <w:p w14:paraId="2EC5BB53">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中国科学院西北生态环境资源研究院</w:t>
            </w:r>
          </w:p>
        </w:tc>
        <w:tc>
          <w:tcPr>
            <w:tcW w:w="851" w:type="dxa"/>
            <w:tcBorders>
              <w:top w:val="single" w:color="auto" w:sz="4" w:space="0"/>
              <w:left w:val="single" w:color="auto" w:sz="4" w:space="0"/>
              <w:bottom w:val="single" w:color="auto" w:sz="4" w:space="0"/>
              <w:right w:val="single" w:color="auto" w:sz="4" w:space="0"/>
            </w:tcBorders>
          </w:tcPr>
          <w:p w14:paraId="72B0332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魏彦强</w:t>
            </w:r>
          </w:p>
        </w:tc>
        <w:tc>
          <w:tcPr>
            <w:tcW w:w="1183" w:type="dxa"/>
            <w:tcBorders>
              <w:top w:val="single" w:color="auto" w:sz="4" w:space="0"/>
              <w:left w:val="single" w:color="auto" w:sz="4" w:space="0"/>
              <w:bottom w:val="single" w:color="auto" w:sz="4" w:space="0"/>
              <w:right w:val="single" w:color="auto" w:sz="8" w:space="0"/>
            </w:tcBorders>
          </w:tcPr>
          <w:p w14:paraId="6CA7040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有效</w:t>
            </w:r>
          </w:p>
        </w:tc>
      </w:tr>
      <w:tr w14:paraId="4B4130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203E58D3">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实用新型专利</w:t>
            </w:r>
          </w:p>
        </w:tc>
        <w:tc>
          <w:tcPr>
            <w:tcW w:w="1260" w:type="dxa"/>
            <w:tcBorders>
              <w:top w:val="single" w:color="auto" w:sz="4" w:space="0"/>
              <w:left w:val="single" w:color="auto" w:sz="4" w:space="0"/>
              <w:bottom w:val="single" w:color="auto" w:sz="4" w:space="0"/>
              <w:right w:val="single" w:color="auto" w:sz="4" w:space="0"/>
            </w:tcBorders>
          </w:tcPr>
          <w:p w14:paraId="12E2492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一种无人机测绘装置</w:t>
            </w:r>
          </w:p>
        </w:tc>
        <w:tc>
          <w:tcPr>
            <w:tcW w:w="951" w:type="dxa"/>
            <w:tcBorders>
              <w:top w:val="single" w:color="auto" w:sz="4" w:space="0"/>
              <w:left w:val="single" w:color="auto" w:sz="4" w:space="0"/>
              <w:bottom w:val="single" w:color="auto" w:sz="4" w:space="0"/>
              <w:right w:val="single" w:color="auto" w:sz="4" w:space="0"/>
            </w:tcBorders>
          </w:tcPr>
          <w:p w14:paraId="0E1D475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中国</w:t>
            </w:r>
          </w:p>
        </w:tc>
        <w:tc>
          <w:tcPr>
            <w:tcW w:w="917" w:type="dxa"/>
            <w:tcBorders>
              <w:top w:val="single" w:color="auto" w:sz="4" w:space="0"/>
              <w:left w:val="single" w:color="auto" w:sz="4" w:space="0"/>
              <w:bottom w:val="single" w:color="auto" w:sz="4" w:space="0"/>
              <w:right w:val="single" w:color="auto" w:sz="4" w:space="0"/>
            </w:tcBorders>
          </w:tcPr>
          <w:p w14:paraId="1446BD3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CN218949479 U</w:t>
            </w:r>
          </w:p>
        </w:tc>
        <w:tc>
          <w:tcPr>
            <w:tcW w:w="995" w:type="dxa"/>
            <w:tcBorders>
              <w:top w:val="single" w:color="auto" w:sz="4" w:space="0"/>
              <w:left w:val="single" w:color="auto" w:sz="4" w:space="0"/>
              <w:bottom w:val="single" w:color="auto" w:sz="4" w:space="0"/>
              <w:right w:val="single" w:color="auto" w:sz="4" w:space="0"/>
            </w:tcBorders>
          </w:tcPr>
          <w:p w14:paraId="78D5639B">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2023年05月02日</w:t>
            </w:r>
          </w:p>
        </w:tc>
        <w:tc>
          <w:tcPr>
            <w:tcW w:w="1134" w:type="dxa"/>
            <w:tcBorders>
              <w:top w:val="single" w:color="auto" w:sz="4" w:space="0"/>
              <w:left w:val="single" w:color="auto" w:sz="4" w:space="0"/>
              <w:bottom w:val="single" w:color="auto" w:sz="4" w:space="0"/>
              <w:right w:val="single" w:color="auto" w:sz="4" w:space="0"/>
            </w:tcBorders>
          </w:tcPr>
          <w:p w14:paraId="2D5B2AD8">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18942087</w:t>
            </w:r>
          </w:p>
        </w:tc>
        <w:tc>
          <w:tcPr>
            <w:tcW w:w="850" w:type="dxa"/>
            <w:tcBorders>
              <w:top w:val="single" w:color="auto" w:sz="4" w:space="0"/>
              <w:left w:val="single" w:color="auto" w:sz="4" w:space="0"/>
              <w:bottom w:val="single" w:color="auto" w:sz="4" w:space="0"/>
              <w:right w:val="single" w:color="auto" w:sz="4" w:space="0"/>
            </w:tcBorders>
          </w:tcPr>
          <w:p w14:paraId="1D876BED">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中国科学院西北生态环境资源研究院</w:t>
            </w:r>
          </w:p>
        </w:tc>
        <w:tc>
          <w:tcPr>
            <w:tcW w:w="851" w:type="dxa"/>
            <w:tcBorders>
              <w:top w:val="single" w:color="auto" w:sz="4" w:space="0"/>
              <w:left w:val="single" w:color="auto" w:sz="4" w:space="0"/>
              <w:bottom w:val="single" w:color="auto" w:sz="4" w:space="0"/>
              <w:right w:val="single" w:color="auto" w:sz="4" w:space="0"/>
            </w:tcBorders>
          </w:tcPr>
          <w:p w14:paraId="6F441333">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ascii="Times New Roman" w:hAnsi="Times New Roman" w:eastAsia="楷体_GB2312"/>
                <w:color w:val="000000" w:themeColor="text1"/>
                <w:sz w:val="18"/>
                <w:szCs w:val="18"/>
                <w:highlight w:val="none"/>
                <w14:textFill>
                  <w14:solidFill>
                    <w14:schemeClr w14:val="tx1"/>
                  </w14:solidFill>
                </w14:textFill>
              </w:rPr>
              <w:t>魏彦强</w:t>
            </w:r>
          </w:p>
        </w:tc>
        <w:tc>
          <w:tcPr>
            <w:tcW w:w="1183" w:type="dxa"/>
            <w:tcBorders>
              <w:top w:val="single" w:color="auto" w:sz="4" w:space="0"/>
              <w:left w:val="single" w:color="auto" w:sz="4" w:space="0"/>
              <w:bottom w:val="single" w:color="auto" w:sz="4" w:space="0"/>
              <w:right w:val="single" w:color="auto" w:sz="8" w:space="0"/>
            </w:tcBorders>
          </w:tcPr>
          <w:p w14:paraId="21A17CE5">
            <w:pPr>
              <w:spacing w:line="240" w:lineRule="exact"/>
              <w:rPr>
                <w:rFonts w:ascii="Times New Roman" w:hAnsi="Times New Roman" w:eastAsia="楷体_GB2312"/>
                <w:color w:val="000000" w:themeColor="text1"/>
                <w:sz w:val="18"/>
                <w:szCs w:val="18"/>
                <w:highlight w:val="none"/>
                <w14:textFill>
                  <w14:solidFill>
                    <w14:schemeClr w14:val="tx1"/>
                  </w14:solidFill>
                </w14:textFill>
              </w:rPr>
            </w:pPr>
            <w:r>
              <w:rPr>
                <w:rFonts w:hint="eastAsia" w:ascii="Times New Roman" w:hAnsi="Times New Roman" w:eastAsia="楷体_GB2312"/>
                <w:color w:val="000000" w:themeColor="text1"/>
                <w:sz w:val="18"/>
                <w:szCs w:val="18"/>
                <w:highlight w:val="none"/>
                <w14:textFill>
                  <w14:solidFill>
                    <w14:schemeClr w14:val="tx1"/>
                  </w14:solidFill>
                </w14:textFill>
              </w:rPr>
              <w:t>有效</w:t>
            </w:r>
          </w:p>
        </w:tc>
      </w:tr>
      <w:tr w14:paraId="3E522A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Borders>
              <w:top w:val="single" w:color="auto" w:sz="4" w:space="0"/>
              <w:left w:val="single" w:color="auto" w:sz="8" w:space="0"/>
              <w:bottom w:val="single" w:color="auto" w:sz="4" w:space="0"/>
              <w:right w:val="single" w:color="auto" w:sz="4" w:space="0"/>
            </w:tcBorders>
          </w:tcPr>
          <w:p w14:paraId="1EE64B38">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03E07000">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951" w:type="dxa"/>
            <w:tcBorders>
              <w:top w:val="single" w:color="auto" w:sz="4" w:space="0"/>
              <w:left w:val="single" w:color="auto" w:sz="4" w:space="0"/>
              <w:bottom w:val="single" w:color="auto" w:sz="4" w:space="0"/>
              <w:right w:val="single" w:color="auto" w:sz="4" w:space="0"/>
            </w:tcBorders>
          </w:tcPr>
          <w:p w14:paraId="54355C82">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tcPr>
          <w:p w14:paraId="1E2ABD06">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995" w:type="dxa"/>
            <w:tcBorders>
              <w:top w:val="single" w:color="auto" w:sz="4" w:space="0"/>
              <w:left w:val="single" w:color="auto" w:sz="4" w:space="0"/>
              <w:bottom w:val="single" w:color="auto" w:sz="4" w:space="0"/>
              <w:right w:val="single" w:color="auto" w:sz="4" w:space="0"/>
            </w:tcBorders>
          </w:tcPr>
          <w:p w14:paraId="68A241D4">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3C45A20">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0EC25DFC">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tcPr>
          <w:p w14:paraId="519C56A6">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c>
          <w:tcPr>
            <w:tcW w:w="1183" w:type="dxa"/>
            <w:tcBorders>
              <w:top w:val="single" w:color="auto" w:sz="4" w:space="0"/>
              <w:left w:val="single" w:color="auto" w:sz="4" w:space="0"/>
              <w:bottom w:val="single" w:color="auto" w:sz="4" w:space="0"/>
              <w:right w:val="single" w:color="auto" w:sz="8" w:space="0"/>
            </w:tcBorders>
          </w:tcPr>
          <w:p w14:paraId="75B510CB">
            <w:pPr>
              <w:pStyle w:val="3"/>
              <w:spacing w:line="390" w:lineRule="exact"/>
              <w:ind w:firstLine="0" w:firstLineChars="0"/>
              <w:jc w:val="left"/>
              <w:rPr>
                <w:rFonts w:ascii="Times New Roman" w:hAnsi="Times New Roman"/>
                <w:color w:val="000000" w:themeColor="text1"/>
                <w:highlight w:val="none"/>
                <w14:textFill>
                  <w14:solidFill>
                    <w14:schemeClr w14:val="tx1"/>
                  </w14:solidFill>
                </w14:textFill>
              </w:rPr>
            </w:pPr>
          </w:p>
        </w:tc>
      </w:tr>
    </w:tbl>
    <w:p w14:paraId="31CDBB04">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26" w:line="288" w:lineRule="auto"/>
        <w:textAlignment w:val="baseline"/>
        <w:rPr>
          <w:rFonts w:hint="eastAsia" w:ascii="Times New Roman" w:hAnsi="Times New Roman" w:cs="Times New Roman"/>
          <w:b/>
          <w:bCs/>
          <w:spacing w:val="-1"/>
          <w:lang w:val="en-US" w:eastAsia="zh-CN"/>
        </w:rPr>
      </w:pPr>
    </w:p>
    <w:sectPr>
      <w:pgSz w:w="11906" w:h="16839"/>
      <w:pgMar w:top="1431" w:right="1329" w:bottom="0" w:left="132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2B8943"/>
    <w:multiLevelType w:val="singleLevel"/>
    <w:tmpl w:val="B62B8943"/>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951FD4"/>
    <w:rsid w:val="2EBE000F"/>
    <w:rsid w:val="2FC516F9"/>
    <w:rsid w:val="301C166A"/>
    <w:rsid w:val="3EB92D70"/>
    <w:rsid w:val="42BE48DA"/>
    <w:rsid w:val="74FD5C6E"/>
    <w:rsid w:val="78820F2D"/>
    <w:rsid w:val="7AF775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Plain Text"/>
    <w:basedOn w:val="1"/>
    <w:qFormat/>
    <w:uiPriority w:val="0"/>
    <w:pPr>
      <w:spacing w:line="360" w:lineRule="auto"/>
      <w:ind w:firstLine="480" w:firstLineChars="200"/>
    </w:pPr>
    <w:rPr>
      <w:rFonts w:ascii="仿宋_GB2312"/>
      <w:sz w:val="24"/>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4476</Words>
  <Characters>6953</Characters>
  <TotalTime>0</TotalTime>
  <ScaleCrop>false</ScaleCrop>
  <LinksUpToDate>false</LinksUpToDate>
  <CharactersWithSpaces>7331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2026-09-01T14:35:00Z</dcterms:created>
  <dc:creator>ziyan ling</dc:creator>
  <cp:lastModifiedBy>周天财</cp:lastModifiedBy>
  <dcterms:modified xsi:type="dcterms:W3CDTF">2026-09-10T13:28:09Z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2026-09-10T16:30:23Z</vt:filetime>
  </property>
  <property fmtid="{D5CDD505-2E9C-101B-9397-08002B2CF9AE}" pid="4" name="KSOTemplateDocerSaveRecord">
    <vt:lpwstr>eyJoZGlkIjoiMTRlZjFiMjM3OGI3NDhhMDMzNjE0NjUzNzY5NGJiOWQiLCJ1c2VySWQiOiIzOTc5OTY4NjMifQ==</vt:lpwstr>
  </property>
  <property fmtid="{D5CDD505-2E9C-101B-9397-08002B2CF9AE}" pid="5" name="KSOProductBuildVer">
    <vt:lpwstr>2052-12.1.0.28505</vt:lpwstr>
  </property>
  <property fmtid="{D5CDD505-2E9C-101B-9397-08002B2CF9AE}" pid="6" name="ICV">
    <vt:lpwstr>730583070AF44D5586D9D1D9924FBA2E_12</vt:lpwstr>
  </property>
</Properties>
</file>